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80"/>
        <w:jc w:val="center"/>
      </w:pPr>
      <w:r>
        <w:rPr>
          <w:rFonts w:ascii="Times New Roman" w:hAnsi="Times New Roman" w:eastAsia="바탕체"/>
          <w:b/>
          <w:i w:val="0"/>
          <w:sz w:val="40"/>
        </w:rPr>
        <w:t>반도체 웨이퍼 불량 분석을 위한 도메인 지식 기반 통합 파이프라인</w:t>
      </w:r>
    </w:p>
    <w:p>
      <w:pPr>
        <w:spacing w:line="240" w:lineRule="auto" w:after="80"/>
        <w:jc w:val="center"/>
      </w:pPr>
      <w:r>
        <w:rPr>
          <w:rFonts w:ascii="Times New Roman" w:hAnsi="Times New Roman" w:eastAsia="바탕체"/>
          <w:b w:val="0"/>
          <w:i/>
          <w:sz w:val="20"/>
        </w:rPr>
        <w:t>A Domain Knowledge-Driven Integrated Pipeline for Semiconductor Wafer Defect Analysis</w:t>
      </w:r>
    </w:p>
    <w:p>
      <w:pPr>
        <w:spacing w:line="240" w:lineRule="auto" w:after="40"/>
        <w:jc w:val="center"/>
      </w:pPr>
      <w:r>
        <w:rPr>
          <w:rFonts w:ascii="Times New Roman" w:hAnsi="Times New Roman" w:eastAsia="바탕체"/>
          <w:b/>
          <w:i w:val="0"/>
          <w:sz w:val="24"/>
        </w:rPr>
        <w:t>홍길동¹, 김철수¹</w:t>
      </w:r>
    </w:p>
    <w:p>
      <w:pPr>
        <w:spacing w:line="240" w:lineRule="auto" w:after="120"/>
        <w:jc w:val="center"/>
      </w:pPr>
      <w:r>
        <w:rPr>
          <w:rFonts w:ascii="Times New Roman" w:hAnsi="Times New Roman" w:eastAsia="바탕체"/>
          <w:b w:val="0"/>
          <w:i w:val="0"/>
          <w:sz w:val="18"/>
        </w:rPr>
        <w:t>¹ 반도체연구소, Samsung Electronics, 화성시, 대한민국</w:t>
      </w:r>
    </w:p>
    <w:p>
      <w:pPr>
        <w:spacing w:line="240" w:lineRule="auto" w:before="120" w:after="40"/>
        <w:jc w:val="left"/>
      </w:pPr>
      <w:r>
        <w:rPr>
          <w:rFonts w:ascii="Times New Roman" w:hAnsi="Times New Roman" w:eastAsia="바탕체"/>
          <w:b/>
          <w:i w:val="0"/>
          <w:sz w:val="20"/>
        </w:rPr>
        <w:t>초록</w:t>
      </w:r>
    </w:p>
    <w:p>
      <w:pPr>
        <w:spacing w:line="240" w:lineRule="auto" w:after="80"/>
        <w:ind w:firstLine="283"/>
      </w:pPr>
      <w:r>
        <w:rPr>
          <w:rFonts w:ascii="Times New Roman" w:hAnsi="Times New Roman" w:eastAsia="바탕체"/>
          <w:b/>
          <w:i w:val="0"/>
          <w:sz w:val="20"/>
        </w:rPr>
        <w:t>반도체 EDS Test Failbit Map은 wafer 불량의 공간 패턴을 담은 핵심 데이터이나, 대량 적재 인프라와 자동 분석 체계의 부재로 운영 활용에 한계가 있었다. 본 연구는 Known 불량 분류(ConvNeXtV2-ROI-YOLO 기반 supervised 경로)와 Unknown 불량 탐지(contrastive learning-HDBSCAN 기반 open-set 경로), chip별 FTN·QTN overlay UI를 단일 운영 파이프라인으로 통합하였다. 32-color palette PNG 저장으로 RGB 대비 약 70% 용량을 절감하였고, test Weighted F1을 기준 0.78에서 0.95로 향상시켰다.</w:t>
      </w:r>
    </w:p>
    <w:p>
      <w:pPr>
        <w:spacing w:line="240" w:lineRule="auto" w:after="80"/>
      </w:pPr>
      <w:r>
        <w:rPr>
          <w:rFonts w:ascii="Times New Roman" w:hAnsi="Times New Roman" w:eastAsia="바탕체"/>
          <w:b w:val="0"/>
          <w:i/>
          <w:sz w:val="18"/>
        </w:rPr>
        <w:t>Keywords: Failbit Map, Wafer Defect Analysis, ConvNeXtV2, Grad-CAM, YOLO, Contrastive Learning, HDBSCAN, Multimodal</w:t>
      </w:r>
    </w:p>
    <w:p>
      <w:pPr>
        <w:spacing w:before="0" w:after="0"/>
        <w:sectPr>
          <w:pgSz w:w="11906" w:h="16838"/>
          <w:pgMar w:top="1701" w:right="850" w:bottom="1417" w:left="850" w:header="720" w:footer="720" w:gutter="0"/>
          <w:docGrid w:linePitch="360"/>
          <w:cols w:num="1"/>
        </w:sectPr>
      </w:pPr>
      <w:r>
        <w:rPr>
          <w:sz w:val="2"/>
        </w:rPr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1. 서론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EDS Test Failbit Map은 wafer 불량의 위치·분포·방향성을 담아 수율 원인 분석의 출발점이 되는 핵심 데이터이다 [1][2]. 그러나 대량 맵 열람 인프라 부재, 기존 분류 체계에 없는 Unknown 불량 대응 한계 [4], chip 계측값(FTN·QTN)과의 연계 부재가 복합적으로 운영 분석을 제약하였다. 이에 본 연구는 Known 분류·Unknown 탐지·원인 분석 UI를 단일 파이프라인으로 통합하였다.</w:t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2. 제안 방법</w:t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2.1 데이터 생성 및 표현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Bucket A(Failbit Map 로그)와 Bucket B(Measure 로그)를 wafer ID 및 ±10초 오프셋으로 자동 매칭하고, Cython 기반 hex 파싱으로 chip tile array를 복원한다. chip별 FTN·QTN·BIN을 chip annotation 파일에 사전 적재하여 DB 재조회 없이 즉시 참조한다. Failbit Map은 약 20가지 이산 grade 색만 사용하므로, 32-color palette PNG로 저장하여 RGB 대비 약 70% 파일 크기를 절감하면서 무손실을 유지한다.</w:t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2.2 등록 불량 분류 (16-class)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~2,000장(train/test 4:1 층화 분할) 데이터에서 ConvNeXtV2-Base(FCMAE+IN-22k, 384×384)를 backbone으로 채택하고, Optuna HPO(LR·WD·scheduler·augmentation)로 test F1 0.78→0.92를 달성하였다 [5]. FCMAE 자기지도 사전학습은 공간 패턴 복원 능력을 강화하여 소규모 데이터에서 강건하였다. CNN confidence &lt; 0.80인 저신뢰 샘플에 한해 Grad-CAM ROI [6] 추출 후 YOLO 이차 검증을 적용하여 최종 F1 0.95를 달성하였다(Fig. 1). flip 증강은 방향성이 공정 원인을 결정하므로 전면 배제하였다.</w:t>
      </w:r>
    </w:p>
    <w:p>
      <w:pPr>
        <w:spacing w:before="0" w:after="0"/>
      </w:pPr>
      <w:r>
        <w:rPr>
          <w:sz w:val="8"/>
        </w:rPr>
      </w:r>
    </w:p>
    <w:p>
      <w:pPr>
        <w:spacing w:before="0" w:after="20"/>
        <w:jc w:val="left"/>
      </w:pPr>
      <w:r>
        <w:drawing>
          <wp:inline xmlns:a="http://schemas.openxmlformats.org/drawingml/2006/main" xmlns:pic="http://schemas.openxmlformats.org/drawingml/2006/picture">
            <wp:extent cx="2700000" cy="1031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yolo_ro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031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바탕체"/>
          <w:b/>
          <w:i w:val="0"/>
          <w:sz w:val="18"/>
        </w:rPr>
        <w:t>Fig. 1. Class A·B 유사 패턴과 CNN 저신뢰 오분류 → YOLO ROI 보정 사례 (모식도).</w:t>
      </w:r>
    </w:p>
    <w:p>
      <w:pPr>
        <w:spacing w:before="0" w:after="120"/>
      </w:pPr>
      <w:r>
        <w:rPr>
          <w:sz w:val="8"/>
        </w:rPr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2.3 미등록 불량 탐지 (Open-set)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라벨 비의존 InfoNCE(SimCLR [7]) + 6×6 structured local sampling으로 임베딩을 학습하고, HDBSCAN [8](size≥12, prob≥0.55)으로 군집화한다(Fig. 2). 6×6 grid 기반 국소 샘플링은 불량 위치·형상이 공정 원인과 직결된다는 도메인 지식을 반영하였다. 운영 결과 미분류 후보를 소수 군집으로 압축하여 전문가 검토와 신규 라벨 확장을 지원한다.</w:t>
      </w:r>
    </w:p>
    <w:p>
      <w:pPr>
        <w:spacing w:before="0" w:after="0"/>
      </w:pPr>
      <w:r>
        <w:rPr>
          <w:sz w:val="8"/>
        </w:rPr>
      </w:r>
    </w:p>
    <w:p>
      <w:pPr>
        <w:spacing w:before="0" w:after="20"/>
        <w:jc w:val="left"/>
      </w:pPr>
      <w:r>
        <w:drawing>
          <wp:inline xmlns:a="http://schemas.openxmlformats.org/drawingml/2006/main" xmlns:pic="http://schemas.openxmlformats.org/drawingml/2006/picture">
            <wp:extent cx="2700000" cy="6678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clu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67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바탕체"/>
          <w:b/>
          <w:i w:val="0"/>
          <w:sz w:val="18"/>
        </w:rPr>
        <w:t>Fig. 2. 신규 불량 군집화 결과 — 유사 패턴 wafer map을 자동 그룹핑하여 검토 후보 압축 (모식도).</w:t>
      </w:r>
    </w:p>
    <w:p>
      <w:pPr>
        <w:spacing w:before="0" w:after="120"/>
      </w:pPr>
      <w:r>
        <w:rPr>
          <w:sz w:val="8"/>
        </w:rPr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2.4 분석 UI와 multimodal 준비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분류 결과에 chip별 FTN·QTN overlay를 동일 wafer 좌표계에서 제공한다(Fig. 3). 공간 패턴 확인 → FTN·QTN으로 전기 불량 특정 → 공정 원인 연결의 워크플로우를 단일 UI에서 수행하며, image-Measure 정합 구조는 multimodal 확장의 기반이 된다.</w:t>
      </w:r>
    </w:p>
    <w:p>
      <w:pPr>
        <w:spacing w:before="0" w:after="0"/>
      </w:pPr>
      <w:r>
        <w:rPr>
          <w:sz w:val="8"/>
        </w:rPr>
      </w:r>
    </w:p>
    <w:p>
      <w:pPr>
        <w:spacing w:before="0" w:after="20"/>
        <w:jc w:val="left"/>
      </w:pPr>
      <w:r>
        <w:drawing>
          <wp:inline xmlns:a="http://schemas.openxmlformats.org/drawingml/2006/main" xmlns:pic="http://schemas.openxmlformats.org/drawingml/2006/picture">
            <wp:extent cx="2700000" cy="9640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964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바탕체"/>
          <w:b/>
          <w:i w:val="0"/>
          <w:sz w:val="18"/>
        </w:rPr>
        <w:t>Fig. 3. 분석 UI 개념 — Failbit Map · FTN · QTN을 동일 wafer 좌표에서 통합 제공 (모식도).</w:t>
      </w:r>
    </w:p>
    <w:p>
      <w:pPr>
        <w:spacing w:before="0" w:after="120"/>
      </w:pPr>
      <w:r>
        <w:rPr>
          <w:sz w:val="8"/>
        </w:rPr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3. 실험 결과</w:t>
      </w:r>
    </w:p>
    <w:p>
      <w:pPr>
        <w:spacing w:before="0" w:after="0"/>
      </w:pPr>
      <w:r>
        <w:rPr>
          <w:sz w:val="8"/>
        </w:rPr>
      </w:r>
    </w:p>
    <w:p>
      <w:pPr>
        <w:spacing w:line="240" w:lineRule="auto" w:before="0" w:after="20"/>
        <w:jc w:val="left"/>
      </w:pPr>
      <w:r>
        <w:rPr>
          <w:rFonts w:ascii="Times New Roman" w:hAnsi="Times New Roman" w:eastAsia="바탕체"/>
          <w:b/>
          <w:i w:val="0"/>
          <w:sz w:val="18"/>
        </w:rPr>
        <w:t>Table 1. 등록 불량 분류 단계별 성능 (16-class, test Weighted F1)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구성</w:t>
            </w:r>
          </w:p>
        </w:tc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Test F1</w:t>
            </w:r>
          </w:p>
        </w:tc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비고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Baseline  (ResNet-50, 224×224)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0.78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초기 모델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ConvNeXtV2-Base + Optuna HPO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0.92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backbone + HPO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+ ROI-YOLO 저신뢰 보정</w:t>
            </w:r>
          </w:p>
        </w:tc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0.95</w:t>
            </w:r>
          </w:p>
        </w:tc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2단계 보정</w:t>
            </w:r>
          </w:p>
        </w:tc>
      </w:tr>
    </w:tbl>
    <w:p>
      <w:pPr>
        <w:spacing w:before="0" w:after="120"/>
      </w:pPr>
      <w:r>
        <w:rPr>
          <w:sz w:val="8"/>
        </w:rPr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Table 1에 등록 불량 분류의 단계별 성능을 정리하였다. ConvNeXtV2 + Optuna HPO로 0.78→0.92, ROI-YOLO 보정으로 0.92→0.95를 달성하였으며, edge_loc·edge_ring·local 등 공간 유사 패턴 간 혼동 교정이 주요 향상 요인이다.</w:t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4. 결론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Failbit Map 16-class 분류(test F1 0.95)·미등록 불량 군집화·FTN·QTN 기반 원인 분석 UI를 도메인 지식 기반 단일 파이프라인으로 통합하였다. 향후 Failbit Map+Measure multimodal 모델과 전 제품군 일반화를 계획한다.</w:t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참고문헌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[1] T. Nakazawa and D. V. Kulkarni, "Wafer Map Defect Pattern Classification and Image Retrieval Using Convolutional Neural Network," IEEE Trans. Semiconductor Manufacturing, vol. 31, no. 2, pp. 309-314, 2018.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[2] M. B. Alawieh, D. Boning, and D. Z. Pan, "Wafer Map Defect Patterns Classification Using Deep Selective Learning," in Proc. 57th ACM/IEEE DAC, pp. 1-6, 2020.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[3] P. Khosla et al., "Supervised Contrastive Learning," in NeurIPS, vol. 33, pp. 18661-18673, 2020.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[4] J. Jang and G. T. Lee, "Decision Fusion Approach for Detecting Unknown Wafer Bin Map Patterns Based on a Deep Multitask Learning Model," Expert Systems with Applications, vol. 213, 2023.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[5] S. Woo et al., "ConvNeXt V2: Co-Designing and Scaling ConvNets With Masked Autoencoders," in Proc. CVPR, pp. 16133-16142, 2023.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[6] R. R. Selvaraju et al., "Grad-CAM: Visual Explanations From Deep Networks via Gradient-Based Localization," in Proc. ICCV, pp. 618-626, 2017.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[7] T. Chen et al., "A Simple Framework for Contrastive Learning of Visual Representations," in Proc. ICML, PMLR 119, pp. 1597-1607, 2020.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[8] R. J. G. B. Campello et al., "Density-Based Clustering Based on Hierarchical Density Estimates," in PAKDD 2013, pp. 160-172, 2013.</w:t>
      </w:r>
    </w:p>
    <w:sectPr w:rsidR="00FC693F" w:rsidRPr="0006063C" w:rsidSect="00034616">
      <w:type w:val="continuous"/>
      <w:pgSz w:w="11906" w:h="16838"/>
      <w:pgMar w:top="1701" w:right="850" w:bottom="1417" w:left="850" w:header="720" w:footer="720" w:gutter="0"/>
      <w:cols w:space="283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