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80"/>
        <w:jc w:val="center"/>
      </w:pPr>
      <w:r>
        <w:rPr>
          <w:rFonts w:ascii="Times New Roman" w:hAnsi="Times New Roman" w:eastAsia="바탕체"/>
          <w:b/>
          <w:i w:val="0"/>
          <w:sz w:val="40"/>
        </w:rPr>
        <w:t>실제 불량 발굴과 원인 추적을 위한 반도체 웨이퍼 불량 통합 분석 파이프라인</w:t>
      </w:r>
    </w:p>
    <w:p>
      <w:pPr>
        <w:spacing w:line="240" w:lineRule="auto" w:after="80"/>
        <w:jc w:val="center"/>
      </w:pPr>
      <w:r>
        <w:rPr>
          <w:rFonts w:ascii="Times New Roman" w:hAnsi="Times New Roman" w:eastAsia="바탕체"/>
          <w:b w:val="0"/>
          <w:i/>
          <w:sz w:val="20"/>
        </w:rPr>
        <w:t>An Integrated Pipeline for Practical Semiconductor Wafer Defect Discovery and Root-Cause Analysis</w:t>
      </w:r>
    </w:p>
    <w:p>
      <w:pPr>
        <w:spacing w:line="240" w:lineRule="auto" w:after="40"/>
        <w:jc w:val="center"/>
      </w:pPr>
      <w:r>
        <w:rPr>
          <w:rFonts w:ascii="Times New Roman" w:hAnsi="Times New Roman" w:eastAsia="바탕체"/>
          <w:b/>
          <w:i w:val="0"/>
          <w:sz w:val="24"/>
        </w:rPr>
        <w:t>홍길동¹, 김철수¹</w:t>
      </w:r>
    </w:p>
    <w:p>
      <w:pPr>
        <w:spacing w:line="240" w:lineRule="auto" w:after="120"/>
        <w:jc w:val="center"/>
      </w:pPr>
      <w:r>
        <w:rPr>
          <w:rFonts w:ascii="Times New Roman" w:hAnsi="Times New Roman" w:eastAsia="바탕체"/>
          <w:b w:val="0"/>
          <w:i w:val="0"/>
          <w:sz w:val="18"/>
        </w:rPr>
        <w:t>¹ 반도체연구소, Samsung Electronics, 화성시, 대한민국</w:t>
      </w:r>
    </w:p>
    <w:p>
      <w:pPr>
        <w:spacing w:line="240" w:lineRule="auto" w:before="120" w:after="40"/>
        <w:jc w:val="left"/>
      </w:pPr>
      <w:r>
        <w:rPr>
          <w:rFonts w:ascii="Times New Roman" w:hAnsi="Times New Roman" w:eastAsia="바탕체"/>
          <w:b/>
          <w:i w:val="0"/>
          <w:sz w:val="20"/>
        </w:rPr>
        <w:t>초록</w:t>
      </w:r>
    </w:p>
    <w:p>
      <w:pPr>
        <w:spacing w:line="240" w:lineRule="auto" w:after="80"/>
        <w:ind w:firstLine="283"/>
      </w:pPr>
      <w:r>
        <w:rPr>
          <w:rFonts w:ascii="Times New Roman" w:hAnsi="Times New Roman" w:eastAsia="바탕체"/>
          <w:b/>
          <w:i w:val="0"/>
          <w:sz w:val="20"/>
        </w:rPr>
        <w:t>Failbit Map은 반도체 EDS Test에서 생성되는 웨이퍼당 약 1,000만 point 규모의 초고밀도 결과 데이터이지만, 기존 시스템은 1매당 약 1초, 최대 48매 수준의 조회만 가능해 하루 약 2,000장씩 발생하는 이미지를 전수 확인하기 어려웠다. 또한 공정 원인 분석에 필요한 Measure 데이터는 약 20조 row 규모 DB에 분산되어 있어 조회 시간이 길거나 실패가 발생해 Failbit Map과의 즉시 연계 해석이 어려웠다. 본 논문은 이러한 병목을 해결하기 위해 Failbit Map과 Measure 정보를 연계한 end-to-end 운영 파이프라인을 제안한다. palette-indexed PNG 기반 사전 변환을 통해 저장 용량을 RGB 대비 약 75% 절감하고, UI에서는 초당 약 50매 수준의 로드와 최대 5,000매 탐색을 지원하였다. Measure 정보는 chip 기준으로 미리 정합하여 ms급으로 조회 가능하도록 구성하였다. Known 불량 분석에서는 1,500개의 라벨된 Failbit Map에 대해 ConvNeXtV2-Base와 선택적 ROI-YOLO를 적용하여 16-class weighted F1을 0.78에서 0.95까지 향상시켰다. Unknown 분석에서는 5일치 운영 이미지 약 10,000장으로 임베딩을 학습하고 별도 1일치 2,000장에 HDBSCAN을 적용하여 13개 후보 그룹을 도출하였으며, 이 중 7개는 실제 의미 있는 불량 그룹으로 확인되어 후속 검토 리스트로 활용되었다. 제안 시스템은 실제 불량 발굴, 후보 리스트 생성, 원인 추적 정보의 즉시 조회를 하나로 연결한 실전형 불량 분석 체계이다.</w:t>
      </w:r>
    </w:p>
    <w:p>
      <w:pPr>
        <w:spacing w:line="240" w:lineRule="auto" w:after="80"/>
      </w:pPr>
      <w:r>
        <w:rPr>
          <w:rFonts w:ascii="Times New Roman" w:hAnsi="Times New Roman" w:eastAsia="바탕체"/>
          <w:b w:val="0"/>
          <w:i/>
          <w:sz w:val="18"/>
        </w:rPr>
        <w:t>Keywords: Failbit Map, Wafer Defect Analysis, ConvNeXtV2, Grad-CAM, YOLO, Contrastive Learning, HDBSCAN, Multimodal</w:t>
      </w:r>
    </w:p>
    <w:p>
      <w:pPr>
        <w:spacing w:before="0" w:after="0"/>
        <w:sectPr>
          <w:pgSz w:w="11906" w:h="16838"/>
          <w:pgMar w:top="1701" w:right="850" w:bottom="1417" w:left="850" w:header="720" w:footer="720" w:gutter="0"/>
          <w:docGrid w:linePitch="360"/>
          <w:cols w:num="1"/>
        </w:sectPr>
      </w:pPr>
      <w:r>
        <w:rPr>
          <w:sz w:val="2"/>
        </w:rPr>
      </w:r>
    </w:p>
    <w:p>
      <w:pPr>
        <w:spacing w:line="240" w:lineRule="auto" w:before="200" w:after="200"/>
      </w:pPr>
      <w:r>
        <w:rPr>
          <w:rFonts w:ascii="Times New Roman" w:hAnsi="Times New Roman" w:eastAsia="바탕체"/>
          <w:b/>
          <w:i w:val="0"/>
          <w:sz w:val="22"/>
        </w:rPr>
        <w:t>1. 서론</w:t>
      </w:r>
    </w:p>
    <w:p>
      <w:pPr>
        <w:spacing w:line="240" w:lineRule="auto" w:after="40"/>
        <w:ind w:firstLine="283"/>
      </w:pPr>
      <w:r>
        <w:rPr>
          <w:rFonts w:ascii="Times New Roman" w:hAnsi="Times New Roman" w:eastAsia="바탕체"/>
          <w:b w:val="0"/>
          <w:i w:val="0"/>
          <w:sz w:val="20"/>
        </w:rPr>
        <w:t>반도체 수율 개선의 핵심은 공정 이상의 원인을 신속히 파악하는 것이다. EDS(Electrical Die Sorting) Test에서 생성되는 Failbit Map은 웨이퍼 내 약 1,000만 개 cell block의 fail 수를 grade 0~7로 표현하여 center, edge ring, scratch 등 불량의 공간적 패턴을 제공하지만, 이는 '어디서 불량이 발생했는가'에 대한 결과 데이터이다. 공정 원인까지 규명하려면 chip 단위 전기 특성인 FTN·QTN과의 연계가 필수적이다: FTN은 특정 테스트 항목의 불량값으로 bitline·wordline 수준의 회로 원인을 식별하고, QTN은 cell block 내 세부 cell 불량 패턴으로 해당 공정 이상까지 분석을 확장한다. 그러나 현업에서 이 두 데이터를 연계한 체계적 분석 환경은 갖춰져 있지 않다.</w:t>
      </w:r>
    </w:p>
    <w:p>
      <w:pPr>
        <w:spacing w:line="240" w:lineRule="auto" w:after="40"/>
        <w:ind w:firstLine="283"/>
      </w:pPr>
      <w:r>
        <w:rPr>
          <w:rFonts w:ascii="Times New Roman" w:hAnsi="Times New Roman" w:eastAsia="바탕체"/>
          <w:b w:val="0"/>
          <w:i w:val="0"/>
          <w:sz w:val="20"/>
        </w:rPr>
        <w:t>AI 연구 측면에서도 한계가 존재한다. Nakazawa 등 [1]과 Alawieh 등 [2]은 CNN 기반 분류를 체계화하였으나 공개 benchmark 기반 closed-set 검증에 그쳐 Unknown 불량에 대응하지 못하며, Jang 등 [4]의 Unknown 탐지 연구도 라벨 없는 실제 운영 이미지에 대한 검증이 부재하다. 운영 인프라 측면에서도 기존 시스템은 Map 1매/초·최대 48매로 하루 수만 장 전수 확인이 불가능하고, chip별 FTN·QTN은 20조 row 규모 DB에 분산되어 직접 조회 시 처리 지연 및 실패가 빈번해 Failbit Map과의 실시간 연계가 불가능하였다.</w:t>
      </w:r>
    </w:p>
    <w:p>
      <w:pPr>
        <w:spacing w:line="240" w:lineRule="auto" w:after="40"/>
        <w:ind w:firstLine="283"/>
      </w:pPr>
      <w:r>
        <w:rPr>
          <w:rFonts w:ascii="Times New Roman" w:hAnsi="Times New Roman" w:eastAsia="바탕체"/>
          <w:b w:val="0"/>
          <w:i w:val="0"/>
          <w:sz w:val="20"/>
        </w:rPr>
        <w:t>본 연구는 이러한 한계를 AI 모델과 운영 인프라 양면에서 동시에 해소하는 통합 파이프라인을 제안한다. palette PNG 변환·1시간 자동 적재, ConvNeXtV2+ROI-YOLO 2단계 Known 분류(F1 0.95), contrastive learning+HDBSCAN Unknown 후보 발굴(53.8% 유효 불량 확인), Failbit Map↔FTN·QTN 연계 통합 UI를 하나의 운영 체계로 구축하여 결함 탐지에서 공정 원인 분석까지 이어지는 분석 워크플로우를 현업에 배포하였다.</w:t>
      </w:r>
    </w:p>
    <w:p>
      <w:pPr>
        <w:spacing w:line="240" w:lineRule="auto" w:before="200" w:after="200"/>
      </w:pPr>
      <w:r>
        <w:rPr>
          <w:rFonts w:ascii="Times New Roman" w:hAnsi="Times New Roman" w:eastAsia="바탕체"/>
          <w:b/>
          <w:i w:val="0"/>
          <w:sz w:val="22"/>
        </w:rPr>
        <w:t>2. 제안 방법</w:t>
      </w:r>
    </w:p>
    <w:p>
      <w:pPr>
        <w:spacing w:line="240" w:lineRule="auto" w:before="100" w:after="60"/>
      </w:pPr>
      <w:r>
        <w:rPr>
          <w:rFonts w:ascii="Times New Roman" w:hAnsi="Times New Roman" w:eastAsia="바탕체"/>
          <w:b/>
          <w:i w:val="0"/>
          <w:sz w:val="22"/>
        </w:rPr>
        <w:t>2.1 데이터 변환 및 저장 파이프라인</w:t>
      </w:r>
    </w:p>
    <w:p>
      <w:pPr>
        <w:spacing w:line="240" w:lineRule="auto" w:after="40"/>
      </w:pPr>
      <w:r>
        <w:rPr>
          <w:rFonts w:ascii="Times New Roman" w:hAnsi="Times New Roman" w:eastAsia="바탕체"/>
          <w:b w:val="0"/>
          <w:i w:val="0"/>
          <w:sz w:val="20"/>
        </w:rPr>
        <w:t>Bucket A(Failbit Map 설비 로그)와 Bucket B(Measure 로그)를 wafer ID 및 ±10초 오프셋으로 자동 매칭하고, Cython 기반 hex 파싱으로 chip tile array를 복원한다. Failbit Map은 grade 0~7 등 제한된 이산 색상만을 사용하므로 32-color palette-indexed PNG로 저장하면 RGB 대비 약 75%를 절감하면서 무손실을 유지한다. 전체 변환 파이프라인은 서버에서 1시간 주기로 자동 실행되며, chip별 FTN·QTN·BIN을 annotation 파일에 사전 적재한다. 기존 20조 row 규모 DB 직접 조회는 처리 지연 및 실패가 빈번하였으나, 사전 적재 방식으로 수 ms 이하의 안정적 접근을 보장한다.</w:t>
      </w:r>
    </w:p>
    <w:p>
      <w:pPr>
        <w:spacing w:line="240" w:lineRule="auto" w:before="100" w:after="60"/>
      </w:pPr>
      <w:r>
        <w:rPr>
          <w:rFonts w:ascii="Times New Roman" w:hAnsi="Times New Roman" w:eastAsia="바탕체"/>
          <w:b/>
          <w:i w:val="0"/>
          <w:sz w:val="22"/>
        </w:rPr>
        <w:t>2.2 Known 불량 분류 (16-class)</w:t>
      </w:r>
    </w:p>
    <w:p>
      <w:pPr>
        <w:spacing w:line="240" w:lineRule="auto" w:after="40"/>
      </w:pPr>
      <w:r>
        <w:rPr>
          <w:rFonts w:ascii="Times New Roman" w:hAnsi="Times New Roman" w:eastAsia="바탕체"/>
          <w:b w:val="0"/>
          <w:i w:val="0"/>
          <w:sz w:val="20"/>
        </w:rPr>
        <w:t>약 1,500장(train/test 4:1 층화 분할) 데이터에서 ConvNeXtV2-Base [5](FCMAE+IN-22k, 384×384)를 backbone으로 채택하고 Optuna HPO [3]로 test F1 0.78→0.92를 달성하였다. arc/ring·edge_loc/edge_ring·local/random 등 wafer 내 발생 영역이 중첩되는 유사 클래스 쌍은 전역 문맥만으로는 분리가 어려워 CNN confidence가 낮게 출력된다. 이에 confidence &lt; 0.80인 저신뢰 샘플에 한해 Grad-CAM ROI [6]를 추출하고 YOLO [9]가 chip 단위 이미지를 직접 검토하여 최종 F1 0.95를 달성하였다(Fig. 1). flip 증강은 불량 방향성이 공정 원인을 결정하므로 전면 배제하였다.</w:t>
      </w:r>
    </w:p>
    <w:p>
      <w:pPr>
        <w:spacing w:before="0" w:after="0"/>
      </w:pPr>
      <w:r>
        <w:rPr>
          <w:sz w:val="8"/>
        </w:rPr>
      </w:r>
    </w:p>
    <w:p>
      <w:pPr>
        <w:spacing w:before="0" w:after="20"/>
        <w:jc w:val="left"/>
      </w:pPr>
      <w:r>
        <w:drawing>
          <wp:inline xmlns:a="http://schemas.openxmlformats.org/drawingml/2006/main" xmlns:pic="http://schemas.openxmlformats.org/drawingml/2006/picture">
            <wp:extent cx="2700000" cy="10311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_yolo_ro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031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jc w:val="left"/>
      </w:pPr>
      <w:r>
        <w:rPr>
          <w:rFonts w:ascii="Times New Roman" w:hAnsi="Times New Roman" w:eastAsia="바탕체"/>
          <w:b/>
          <w:i w:val="0"/>
          <w:sz w:val="18"/>
        </w:rPr>
        <w:t>Fig. 1. 유사 클래스 쌍의 CNN 저신뢰 오분류 → YOLO chip 단위 교정 사례 (모식도).</w:t>
      </w:r>
    </w:p>
    <w:p>
      <w:pPr>
        <w:spacing w:before="0" w:after="120"/>
      </w:pPr>
      <w:r>
        <w:rPr>
          <w:sz w:val="8"/>
        </w:rPr>
      </w:r>
    </w:p>
    <w:p>
      <w:pPr>
        <w:spacing w:line="240" w:lineRule="auto" w:before="100" w:after="60"/>
      </w:pPr>
      <w:r>
        <w:rPr>
          <w:rFonts w:ascii="Times New Roman" w:hAnsi="Times New Roman" w:eastAsia="바탕체"/>
          <w:b/>
          <w:i w:val="0"/>
          <w:sz w:val="22"/>
        </w:rPr>
        <w:t>2.3 Unknown 불량 탐지 (Open-set)</w:t>
      </w:r>
    </w:p>
    <w:p>
      <w:pPr>
        <w:spacing w:line="240" w:lineRule="auto" w:after="40"/>
      </w:pPr>
      <w:r>
        <w:rPr>
          <w:rFonts w:ascii="Times New Roman" w:hAnsi="Times New Roman" w:eastAsia="바탕체"/>
          <w:b w:val="0"/>
          <w:i w:val="0"/>
          <w:sz w:val="20"/>
        </w:rPr>
        <w:t>공정 변화 시 발생하는 Unknown 불량은 사전에 클래스를 정의할 수 없어 supervised 방법으로는 탐지 불가능하다. 라벨 비의존 InfoNCE(SimCLR [7])와, 웨이퍼를 6×6 구역으로 분할하여 각 구역에서 균등 샘플링하는 structured local sampling으로 임베딩을 학습한다. 이는 불량 발생 위치·형상이 공정 원인과 직결된다는 도메인 지식을 임베딩 학습에 반영한 것이다. 실제 운영 이미지 5일치(약 10,000장)로 학습 후 특정 제품의 하루 전체 Map(약 2,000장)에 HDBSCAN [8](size≥12, prob≥0.55)을 적용하였다. 하루 전체 Map 2,000장이 13개 후보 그룹으로 자동 압축되었다(Fig. 2). 담당 엔지니어 검토 결과, 7개(53.8%)는 현재 실제 발생 중인 신규 불량으로 확인되었고, 나머지 6개는 1 lot 내 일시적 헌팅 또는 이미지 이상으로 현업 불량이 아님이 확인되었다. 즉, 13개 전체가 실제 이상 패턴이었으며, 시스템이 노이즈가 아닌 의미 있는 패턴만을 선별해냄을 의미한다. Unknown 불량은 기존 시스템에서 탐지 수단이 전무하였으나, 본 체계를 통해 신규 불량 후보를 자동 발굴·리스트화하는 기능을 현업에 최초로 제공하였다.</w:t>
      </w:r>
    </w:p>
    <w:p>
      <w:pPr>
        <w:spacing w:before="0" w:after="0"/>
      </w:pPr>
      <w:r>
        <w:rPr>
          <w:sz w:val="8"/>
        </w:rPr>
      </w:r>
    </w:p>
    <w:p>
      <w:pPr>
        <w:spacing w:before="0" w:after="20"/>
        <w:jc w:val="left"/>
      </w:pPr>
      <w:r>
        <w:drawing>
          <wp:inline xmlns:a="http://schemas.openxmlformats.org/drawingml/2006/main" xmlns:pic="http://schemas.openxmlformats.org/drawingml/2006/picture">
            <wp:extent cx="2700000" cy="6678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_clus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667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jc w:val="left"/>
      </w:pPr>
      <w:r>
        <w:rPr>
          <w:rFonts w:ascii="Times New Roman" w:hAnsi="Times New Roman" w:eastAsia="바탕체"/>
          <w:b/>
          <w:i w:val="0"/>
          <w:sz w:val="18"/>
        </w:rPr>
        <w:t>Fig. 2. 실제 운영 이미지 기반 Unknown 불량 군집화 — 2,000장을 13개 그룹으로 압축 (모식도).</w:t>
      </w:r>
    </w:p>
    <w:p>
      <w:pPr>
        <w:spacing w:before="0" w:after="120"/>
      </w:pPr>
      <w:r>
        <w:rPr>
          <w:sz w:val="8"/>
        </w:rPr>
      </w:r>
    </w:p>
    <w:p>
      <w:pPr>
        <w:spacing w:line="240" w:lineRule="auto" w:before="100" w:after="60"/>
      </w:pPr>
      <w:r>
        <w:rPr>
          <w:rFonts w:ascii="Times New Roman" w:hAnsi="Times New Roman" w:eastAsia="바탕체"/>
          <w:b/>
          <w:i w:val="0"/>
          <w:sz w:val="22"/>
        </w:rPr>
        <w:t>2.4 통합 분석 UI</w:t>
      </w:r>
    </w:p>
    <w:p>
      <w:pPr>
        <w:spacing w:line="240" w:lineRule="auto" w:after="40"/>
      </w:pPr>
      <w:r>
        <w:rPr>
          <w:rFonts w:ascii="Times New Roman" w:hAnsi="Times New Roman" w:eastAsia="바탕체"/>
          <w:b w:val="0"/>
          <w:i w:val="0"/>
          <w:sz w:val="20"/>
        </w:rPr>
        <w:t>Failbit Map 분류로 불량의 공간적 패턴 유형을 파악한 후, 공정 원인 규명에는 FTN·QTN과의 연계가 필수적이다. FTN은 특정 테스트 항목의 불량값으로 bitline·wordline 수준의 회로 원인을 식별하고, QTN은 cell block 내 세부 cell 불량 패턴을 제공하여 해당 공정 이상까지 분석을 확장한다. 본 UI는 기존 1초/매·최대 48매 한계를 넘어 5,000매를 단일 그리드에서 로드·스크롤하며, Failbit Map·FTN·QTN overlay·composite map을 단일 화면에서 제공한다(Fig. 3). Unknown 탐지 및 Known 분류로 확인된 불량 샘플은 즉시 등록되어 AI 학습 데이터로 연결되는 human-in-the-loop 체계를 완성한다.</w:t>
      </w:r>
    </w:p>
    <w:p>
      <w:pPr>
        <w:spacing w:before="0" w:after="0"/>
      </w:pPr>
      <w:r>
        <w:rPr>
          <w:sz w:val="8"/>
        </w:rPr>
      </w:r>
    </w:p>
    <w:p>
      <w:pPr>
        <w:spacing w:before="0" w:after="20"/>
        <w:jc w:val="left"/>
      </w:pPr>
      <w:r>
        <w:drawing>
          <wp:inline xmlns:a="http://schemas.openxmlformats.org/drawingml/2006/main" xmlns:pic="http://schemas.openxmlformats.org/drawingml/2006/picture">
            <wp:extent cx="2700000" cy="9640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_u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964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jc w:val="left"/>
      </w:pPr>
      <w:r>
        <w:rPr>
          <w:rFonts w:ascii="Times New Roman" w:hAnsi="Times New Roman" w:eastAsia="바탕체"/>
          <w:b/>
          <w:i w:val="0"/>
          <w:sz w:val="18"/>
        </w:rPr>
        <w:t>Fig. 3. 통합 분석 UI — Failbit Map · FTN · QTN overlay를 단일 화면에서 제공 (모식도).</w:t>
      </w:r>
    </w:p>
    <w:p>
      <w:pPr>
        <w:spacing w:before="0" w:after="120"/>
      </w:pPr>
      <w:r>
        <w:rPr>
          <w:sz w:val="8"/>
        </w:rPr>
      </w:r>
    </w:p>
    <w:p>
      <w:pPr>
        <w:spacing w:line="240" w:lineRule="auto" w:before="200" w:after="200"/>
      </w:pPr>
      <w:r>
        <w:rPr>
          <w:rFonts w:ascii="Times New Roman" w:hAnsi="Times New Roman" w:eastAsia="바탕체"/>
          <w:b/>
          <w:i w:val="0"/>
          <w:sz w:val="22"/>
        </w:rPr>
        <w:t>3. 실험 결과</w:t>
      </w:r>
    </w:p>
    <w:p>
      <w:pPr>
        <w:spacing w:before="0" w:after="0"/>
      </w:pPr>
      <w:r>
        <w:rPr>
          <w:sz w:val="8"/>
        </w:rPr>
      </w:r>
    </w:p>
    <w:p>
      <w:pPr>
        <w:spacing w:line="240" w:lineRule="auto" w:before="0" w:after="20"/>
        <w:jc w:val="left"/>
      </w:pPr>
      <w:r>
        <w:rPr>
          <w:rFonts w:ascii="Times New Roman" w:hAnsi="Times New Roman" w:eastAsia="바탕체"/>
          <w:b/>
          <w:i w:val="0"/>
          <w:sz w:val="18"/>
        </w:rPr>
        <w:t>Table 1. 등록 불량 분류 단계별 성능 (16-class, test Weighted F1)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 w:eastAsia="바탕체"/>
                <w:b/>
                <w:i w:val="0"/>
                <w:sz w:val="18"/>
              </w:rPr>
              <w:t>구성</w:t>
            </w:r>
          </w:p>
        </w:tc>
        <w:tc>
          <w:tcPr>
            <w:tcW w:type="dxa" w:w="3402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 w:eastAsia="바탕체"/>
                <w:b/>
                <w:i w:val="0"/>
                <w:sz w:val="18"/>
              </w:rPr>
              <w:t>Test F1</w:t>
            </w:r>
          </w:p>
        </w:tc>
        <w:tc>
          <w:tcPr>
            <w:tcW w:type="dxa" w:w="3402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 w:eastAsia="바탕체"/>
                <w:b/>
                <w:i w:val="0"/>
                <w:sz w:val="18"/>
              </w:rPr>
              <w:t>비고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 w:eastAsia="바탕체"/>
                <w:b w:val="0"/>
                <w:i w:val="0"/>
                <w:sz w:val="18"/>
              </w:rPr>
              <w:t>Baseline  (ResNet-50, 224×224)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Times New Roman" w:hAnsi="Times New Roman" w:eastAsia="바탕체"/>
                <w:b w:val="0"/>
                <w:i w:val="0"/>
                <w:sz w:val="18"/>
              </w:rPr>
              <w:t>0.78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Times New Roman" w:hAnsi="Times New Roman" w:eastAsia="바탕체"/>
                <w:b w:val="0"/>
                <w:i w:val="0"/>
                <w:sz w:val="18"/>
              </w:rPr>
              <w:t>초기 모델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 w:eastAsia="바탕체"/>
                <w:b w:val="0"/>
                <w:i w:val="0"/>
                <w:sz w:val="18"/>
              </w:rPr>
              <w:t>ConvNeXtV2-Base + Optuna HPO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Times New Roman" w:hAnsi="Times New Roman" w:eastAsia="바탕체"/>
                <w:b w:val="0"/>
                <w:i w:val="0"/>
                <w:sz w:val="18"/>
              </w:rPr>
              <w:t>0.92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Times New Roman" w:hAnsi="Times New Roman" w:eastAsia="바탕체"/>
                <w:b w:val="0"/>
                <w:i w:val="0"/>
                <w:sz w:val="18"/>
              </w:rPr>
              <w:t>backbone + HPO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 w:eastAsia="바탕체"/>
                <w:b/>
                <w:i w:val="0"/>
                <w:sz w:val="18"/>
              </w:rPr>
              <w:t>+ ROI-YOLO 저신뢰 보정</w:t>
            </w:r>
          </w:p>
        </w:tc>
        <w:tc>
          <w:tcPr>
            <w:tcW w:type="dxa" w:w="3402"/>
            <w:shd w:val="clear" w:color="auto" w:fill="F2F2F2"/>
          </w:tcPr>
          <w:p>
            <w:pPr>
              <w:jc w:val="center"/>
            </w:pPr>
            <w:r>
              <w:rPr>
                <w:rFonts w:ascii="Times New Roman" w:hAnsi="Times New Roman" w:eastAsia="바탕체"/>
                <w:b w:val="0"/>
                <w:i w:val="0"/>
                <w:sz w:val="18"/>
              </w:rPr>
              <w:t>0.95</w:t>
            </w:r>
          </w:p>
        </w:tc>
        <w:tc>
          <w:tcPr>
            <w:tcW w:type="dxa" w:w="3402"/>
            <w:shd w:val="clear" w:color="auto" w:fill="F2F2F2"/>
          </w:tcPr>
          <w:p>
            <w:pPr>
              <w:jc w:val="center"/>
            </w:pPr>
            <w:r>
              <w:rPr>
                <w:rFonts w:ascii="Times New Roman" w:hAnsi="Times New Roman" w:eastAsia="바탕체"/>
                <w:b w:val="0"/>
                <w:i w:val="0"/>
                <w:sz w:val="18"/>
              </w:rPr>
              <w:t>2단계 보정</w:t>
            </w:r>
          </w:p>
        </w:tc>
      </w:tr>
    </w:tbl>
    <w:p>
      <w:pPr>
        <w:spacing w:before="0" w:after="120"/>
      </w:pPr>
      <w:r>
        <w:rPr>
          <w:sz w:val="8"/>
        </w:rPr>
      </w:r>
    </w:p>
    <w:p>
      <w:pPr>
        <w:spacing w:line="240" w:lineRule="auto" w:after="40"/>
      </w:pPr>
      <w:r>
        <w:rPr>
          <w:rFonts w:ascii="Times New Roman" w:hAnsi="Times New Roman" w:eastAsia="바탕체"/>
          <w:b w:val="0"/>
          <w:i w:val="0"/>
          <w:sz w:val="20"/>
        </w:rPr>
        <w:t>Table 1과 같이 ConvNeXtV2 + Optuna HPO로 F1 0.78→0.92, ROI-YOLO 선택적 보정으로 0.92→0.95를 달성하였다. Unknown 탐지는 하루 전체 Map 2,000장을 13개 그룹으로 압축하여 7개(53.8%)를 유효 신규 불량으로 확인하였다.</w:t>
      </w:r>
    </w:p>
    <w:p>
      <w:pPr>
        <w:spacing w:line="240" w:lineRule="auto" w:before="200" w:after="200"/>
      </w:pPr>
      <w:r>
        <w:rPr>
          <w:rFonts w:ascii="Times New Roman" w:hAnsi="Times New Roman" w:eastAsia="바탕체"/>
          <w:b/>
          <w:i w:val="0"/>
          <w:sz w:val="22"/>
        </w:rPr>
        <w:t>4. 결론</w:t>
      </w:r>
    </w:p>
    <w:p>
      <w:pPr>
        <w:spacing w:line="240" w:lineRule="auto" w:after="40"/>
        <w:ind w:firstLine="283"/>
      </w:pPr>
      <w:r>
        <w:rPr>
          <w:rFonts w:ascii="Times New Roman" w:hAnsi="Times New Roman" w:eastAsia="바탕체"/>
          <w:b w:val="0"/>
          <w:i w:val="0"/>
          <w:sz w:val="20"/>
        </w:rPr>
        <w:t>본 연구는 Failbit Map 기반 웨이퍼 불량 분석의 전 과정 — 데이터 적재, Known 자동 분류, Unknown 후보 발굴, 공정 원인 규명 — 을 하나의 운영 체계로 통합한 end-to-end 파이프라인을 제안하였다. 핵심 차별점은 Failbit Map(불량 결과)과 FTN·QTN(불량 원인)의 연계를 통해 결함 탐지에서 bitline·wordline·cell 수준의 공정 이상 분석까지 이어지는 완결된 분석 워크플로우를 현업 DRAM 생산 라인에 실제 배포한 데 있다. human-in-the-loop 피드백으로 모델이 지속 개선되며, 향후 Failbit Map과 FTN·QTN의 multimodal 융합 모델로 확장하여 공정 원인 분석의 자동화를 한층 높일 계획이다.</w:t>
      </w:r>
    </w:p>
    <w:p>
      <w:pPr>
        <w:spacing w:line="240" w:lineRule="auto" w:before="200" w:after="200"/>
      </w:pPr>
      <w:r>
        <w:rPr>
          <w:rFonts w:ascii="Times New Roman" w:hAnsi="Times New Roman" w:eastAsia="바탕체"/>
          <w:b/>
          <w:i w:val="0"/>
          <w:sz w:val="22"/>
        </w:rPr>
        <w:t>참고문헌</w:t>
      </w:r>
    </w:p>
    <w:p>
      <w:pPr>
        <w:spacing w:line="240" w:lineRule="auto" w:after="20"/>
        <w:ind w:left="283" w:hanging="283"/>
      </w:pPr>
      <w:r>
        <w:rPr>
          <w:rFonts w:ascii="Times New Roman" w:hAnsi="Times New Roman" w:eastAsia="바탕체"/>
          <w:b w:val="0"/>
          <w:i w:val="0"/>
          <w:sz w:val="18"/>
        </w:rPr>
        <w:t>[1] T. Nakazawa and D. V. Kulkarni, "Wafer Map Defect Pattern Classification and Image Retrieval Using Convolutional Neural Network," IEEE Trans. Semiconductor Manufacturing, vol. 31, no. 2, pp. 309-314, 2018.</w:t>
      </w:r>
    </w:p>
    <w:p>
      <w:pPr>
        <w:spacing w:line="240" w:lineRule="auto" w:after="20"/>
        <w:ind w:left="283" w:hanging="283"/>
      </w:pPr>
      <w:r>
        <w:rPr>
          <w:rFonts w:ascii="Times New Roman" w:hAnsi="Times New Roman" w:eastAsia="바탕체"/>
          <w:b w:val="0"/>
          <w:i w:val="0"/>
          <w:sz w:val="18"/>
        </w:rPr>
        <w:t>[2] M. B. Alawieh, D. Boning, and D. Z. Pan, "Wafer Map Defect Patterns Classification Using Deep Selective Learning," in Proc. 57th ACM/IEEE DAC, pp. 1-6, 2020.</w:t>
      </w:r>
    </w:p>
    <w:p>
      <w:pPr>
        <w:spacing w:line="240" w:lineRule="auto" w:after="20"/>
        <w:ind w:left="283" w:hanging="283"/>
      </w:pPr>
      <w:r>
        <w:rPr>
          <w:rFonts w:ascii="Times New Roman" w:hAnsi="Times New Roman" w:eastAsia="바탕체"/>
          <w:b w:val="0"/>
          <w:i w:val="0"/>
          <w:sz w:val="18"/>
        </w:rPr>
        <w:t>[3] T. Akiba et al., "Optuna: A Next-generation Hyperparameter Optimization Framework," in Proc. 25th ACM SIGKDD, pp. 2623-2631, 2019.</w:t>
      </w:r>
    </w:p>
    <w:p>
      <w:pPr>
        <w:spacing w:line="240" w:lineRule="auto" w:after="20"/>
        <w:ind w:left="283" w:hanging="283"/>
      </w:pPr>
      <w:r>
        <w:rPr>
          <w:rFonts w:ascii="Times New Roman" w:hAnsi="Times New Roman" w:eastAsia="바탕체"/>
          <w:b w:val="0"/>
          <w:i w:val="0"/>
          <w:sz w:val="18"/>
        </w:rPr>
        <w:t>[4] J. Jang and G. T. Lee, "Decision Fusion Approach for Detecting Unknown Wafer Bin Map Patterns Based on a Deep Multitask Learning Model," Expert Systems with Applications, vol. 213, 2023.</w:t>
      </w:r>
    </w:p>
    <w:p>
      <w:pPr>
        <w:spacing w:line="240" w:lineRule="auto" w:after="20"/>
        <w:ind w:left="283" w:hanging="283"/>
      </w:pPr>
      <w:r>
        <w:rPr>
          <w:rFonts w:ascii="Times New Roman" w:hAnsi="Times New Roman" w:eastAsia="바탕체"/>
          <w:b w:val="0"/>
          <w:i w:val="0"/>
          <w:sz w:val="18"/>
        </w:rPr>
        <w:t>[5] S. Woo et al., "ConvNeXt V2: Co-Designing and Scaling ConvNets With Masked Autoencoders," in Proc. CVPR, pp. 16133-16142, 2023.</w:t>
      </w:r>
    </w:p>
    <w:p>
      <w:pPr>
        <w:spacing w:line="240" w:lineRule="auto" w:after="20"/>
        <w:ind w:left="283" w:hanging="283"/>
      </w:pPr>
      <w:r>
        <w:rPr>
          <w:rFonts w:ascii="Times New Roman" w:hAnsi="Times New Roman" w:eastAsia="바탕체"/>
          <w:b w:val="0"/>
          <w:i w:val="0"/>
          <w:sz w:val="18"/>
        </w:rPr>
        <w:t>[6] R. R. Selvaraju et al., "Grad-CAM: Visual Explanations From Deep Networks via Gradient-Based Localization," in Proc. ICCV, pp. 618-626, 2017.</w:t>
      </w:r>
    </w:p>
    <w:p>
      <w:pPr>
        <w:spacing w:line="240" w:lineRule="auto" w:after="20"/>
        <w:ind w:left="283" w:hanging="283"/>
      </w:pPr>
      <w:r>
        <w:rPr>
          <w:rFonts w:ascii="Times New Roman" w:hAnsi="Times New Roman" w:eastAsia="바탕체"/>
          <w:b w:val="0"/>
          <w:i w:val="0"/>
          <w:sz w:val="18"/>
        </w:rPr>
        <w:t>[7] T. Chen et al., "A Simple Framework for Contrastive Learning of Visual Representations," in Proc. ICML, PMLR 119, pp. 1597-1607, 2020.</w:t>
      </w:r>
    </w:p>
    <w:p>
      <w:pPr>
        <w:spacing w:line="240" w:lineRule="auto" w:after="20"/>
        <w:ind w:left="283" w:hanging="283"/>
      </w:pPr>
      <w:r>
        <w:rPr>
          <w:rFonts w:ascii="Times New Roman" w:hAnsi="Times New Roman" w:eastAsia="바탕체"/>
          <w:b w:val="0"/>
          <w:i w:val="0"/>
          <w:sz w:val="18"/>
        </w:rPr>
        <w:t>[8] R. J. G. B. Campello et al., "Density-Based Clustering Based on Hierarchical Density Estimates," in PAKDD 2013, pp. 160-172, 2013.</w:t>
      </w:r>
    </w:p>
    <w:p>
      <w:pPr>
        <w:spacing w:line="240" w:lineRule="auto" w:after="20"/>
        <w:ind w:left="283" w:hanging="283"/>
      </w:pPr>
      <w:r>
        <w:rPr>
          <w:rFonts w:ascii="Times New Roman" w:hAnsi="Times New Roman" w:eastAsia="바탕체"/>
          <w:b w:val="0"/>
          <w:i w:val="0"/>
          <w:sz w:val="18"/>
        </w:rPr>
        <w:t>[9] J. Redmon et al., "You Only Look Once: Unified, Real-Time Object Detection," in Proc. CVPR, pp. 779-788, 2016.</w:t>
      </w:r>
    </w:p>
    <w:sectPr w:rsidR="00FC693F" w:rsidRPr="0006063C" w:rsidSect="00034616">
      <w:type w:val="continuous"/>
      <w:pgSz w:w="11906" w:h="16838"/>
      <w:pgMar w:top="1701" w:right="850" w:bottom="1417" w:left="850" w:header="720" w:footer="720" w:gutter="0"/>
      <w:cols w:space="283" w:num="2" w:equalWidth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체" w:hAnsi="바탕체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