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80"/>
        <w:jc w:val="center"/>
      </w:pPr>
      <w:r>
        <w:rPr>
          <w:rFonts w:ascii="Times New Roman" w:hAnsi="Times New Roman" w:eastAsia="바탕체"/>
          <w:b/>
          <w:i w:val="0"/>
          <w:sz w:val="40"/>
        </w:rPr>
        <w:t>DRAM Failbit Map 기반 Known·Unknown 불량 분석 및 현업 적용 파이프라인</w:t>
      </w:r>
    </w:p>
    <w:p>
      <w:pPr>
        <w:spacing w:line="240" w:lineRule="auto" w:after="80"/>
        <w:jc w:val="center"/>
      </w:pPr>
      <w:r>
        <w:rPr>
          <w:rFonts w:ascii="Times New Roman" w:hAnsi="Times New Roman" w:eastAsia="바탕체"/>
          <w:b w:val="0"/>
          <w:i/>
          <w:sz w:val="20"/>
        </w:rPr>
        <w:t>A Known/Unknown Defect Analysis and Operational Pipeline Based on DRAM Failbit Maps</w:t>
      </w:r>
    </w:p>
    <w:p>
      <w:pPr>
        <w:spacing w:line="240" w:lineRule="auto" w:after="40"/>
        <w:jc w:val="center"/>
      </w:pPr>
      <w:r>
        <w:rPr>
          <w:rFonts w:ascii="Times New Roman" w:hAnsi="Times New Roman" w:eastAsia="바탕체"/>
          <w:b/>
          <w:i w:val="0"/>
          <w:sz w:val="24"/>
        </w:rPr>
        <w:t>홍길동¹, 김철수¹</w:t>
      </w:r>
    </w:p>
    <w:p>
      <w:pPr>
        <w:spacing w:line="240" w:lineRule="auto" w:after="120"/>
        <w:jc w:val="center"/>
      </w:pPr>
      <w:r>
        <w:rPr>
          <w:rFonts w:ascii="Times New Roman" w:hAnsi="Times New Roman" w:eastAsia="바탕체"/>
          <w:b w:val="0"/>
          <w:i w:val="0"/>
          <w:sz w:val="18"/>
        </w:rPr>
        <w:t>¹ 반도체연구소, Samsung Electronics, 화성시, 대한민국</w:t>
      </w:r>
    </w:p>
    <w:p>
      <w:pPr>
        <w:spacing w:line="240" w:lineRule="auto" w:before="120" w:after="40"/>
        <w:jc w:val="left"/>
      </w:pPr>
      <w:r>
        <w:rPr>
          <w:rFonts w:ascii="Times New Roman" w:hAnsi="Times New Roman" w:eastAsia="바탕체"/>
          <w:b/>
          <w:i w:val="0"/>
          <w:sz w:val="20"/>
        </w:rPr>
        <w:t>초록</w:t>
      </w:r>
    </w:p>
    <w:p>
      <w:pPr>
        <w:spacing w:line="240" w:lineRule="auto" w:after="80"/>
        <w:ind w:firstLine="283"/>
      </w:pPr>
      <w:r>
        <w:rPr>
          <w:rFonts w:ascii="Times New Roman" w:hAnsi="Times New Roman" w:eastAsia="바탕체"/>
          <w:b/>
          <w:i w:val="0"/>
          <w:sz w:val="20"/>
        </w:rPr>
        <w:t>Failbit Map은 반도체 EDS Test에서 생성되는 웨이퍼당 약 1,000만 point 규모의 초고밀도 데이터로, 불량 패턴의 공간적 해석이 수율 개선의 핵심이다. 본 논문은 반도체 공정 도메인 지식을 AI 모델 설계에 직접 반영한 Known·Unknown 불량 분류·탐지 아키텍처를 제안하고, 이를 실전 운영 환경에 배포한다. Known 불량 분류에서는 ConvNeXtV2-Base를 backbone으로 채택하고 wafer 내 발생 영역이 중첩되는 유사 클래스에 한해 Grad-CAM ROI 기반 YOLO를 선택적으로 적용하는 2단계 구조로 16-class weighted F1을 0.78에서 0.95로 향상시켰다. flip 증강 배제 등 불량 방향성이 공정 의미를 가진다는 도메인 지식이 설계 전반에 반영되었다. Unknown 불량 탐지에서는 라벨 비의존 InfoNCE 학습과 웨이퍼를 6×6 구역으로 분할하여 불량 위치 정보를 임베딩에 반영하는 structured local sampling, HDBSCAN 군집화를 결합하여 하루 전체 Map 2,000장을 13개 후보 그룹으로 압축하였다. 군집화된 전체 그룹이 실제 이상 패턴으로 확인되었고, 이 중 7개는 신규 불량으로 검증되었다. 운영 인프라로는 palette-indexed PNG 변환, 5,000매 탐색 UI, chip별 FTN·QTN overlay를 구축하여 탐지 결과에서 공정 원인 분석까지 이어지는 워크플로우를 현업 DRAM 생산 라인에 배포하였다.</w:t>
      </w:r>
    </w:p>
    <w:p>
      <w:pPr>
        <w:spacing w:line="240" w:lineRule="auto" w:after="80"/>
      </w:pPr>
      <w:r>
        <w:rPr>
          <w:rFonts w:ascii="Times New Roman" w:hAnsi="Times New Roman" w:eastAsia="바탕체"/>
          <w:b w:val="0"/>
          <w:i/>
          <w:sz w:val="18"/>
        </w:rPr>
        <w:t>Keywords: Failbit Map, Wafer Defect Analysis, ConvNeXtV2, Grad-CAM, YOLO, Contrastive Learning, HDBSCAN, Multimodal</w:t>
      </w:r>
    </w:p>
    <w:p>
      <w:pPr>
        <w:spacing w:before="0" w:after="0"/>
        <w:sectPr>
          <w:pgSz w:w="11906" w:h="16838"/>
          <w:pgMar w:top="1701" w:right="850" w:bottom="1417" w:left="850" w:header="720" w:footer="720" w:gutter="0"/>
          <w:docGrid w:linePitch="360"/>
          <w:cols w:num="1"/>
        </w:sectPr>
      </w:pPr>
      <w:r>
        <w:rPr>
          <w:sz w:val="2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1. 서론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반도체 수율 개선의 핵심은 공정 이상의 원인을 신속히 파악하는 것이다. EDS(Electrical Die Sorting) Test에서 생성되는 Failbit Map은 웨이퍼 내 약 1,000만 개 cell block의 fail 수를 grade 0~7로 표현하여 center, edge ring, scratch 등 불량의 공간적 패턴을 제공하지만, 이는 '어디서 불량이 발생했는가'에 대한 결과 데이터이다. 공정 원인까지 규명하려면 chip 단위 전기 특성인 FTN·QTN과의 연계가 필수적이다: FTN은 특정 테스트 항목의 불량값으로 bitline·wordline 수준의 회로 원인을 식별하고, QTN은 cell block 내 세부 cell 불량 패턴으로 해당 공정 이상까지 분석을 확장한다. 그러나 현업에서 이 두 데이터를 연계한 체계적 분석 환경은 갖춰져 있지 않다.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AI 연구 측면에서도 한계가 존재한다. Nakazawa 등 [1]과 Alawieh 등 [2]은 CNN 기반 분류를 체계화하였으나 공개 benchmark 기반 closed-set 검증에 그쳐 Unknown 불량에 대응하지 못하며, Jang 등 [4]의 Unknown 탐지 연구도 라벨 없는 실제 운영 이미지에 대한 검증이 부재하다. 운영 인프라 측면에서도 기존 시스템은 Map 1매/초·최대 48매로 하루 수만 장 전수 확인이 불가능하고, chip별 FTN·QTN은 20조 row 규모 DB에 분산되어 직접 조회 시 처리 지연 및 실패가 빈번해 Failbit Map과의 실시간 연계가 불가능하였다.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연구는 반도체 공정 도메인 지식을 AI 모델 설계에 직접 반영한 Known·Unknown 불량 탐지 아키텍처를 제안한다. Known 분류에서는 ConvNeXtV2+ROI-YOLO 2단계 구조로 F1 0.95를 달성하였고, Unknown 탐지에서는 InfoNCE+structured local sampling+HDBSCAN으로 라벨 없는 실제 운영 이미지에서 신규 불량 후보를 자동 발굴하는 기능을 현업에 최초로 제공한다. 이를 palette PNG 변환·FTN·QTN 연계 통합 UI와 함께 현업 DRAM 생산 라인에 배포하였다.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2. 제안 방법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2.1 데이터 변환 및 저장 파이프라인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Bucket A(Failbit Map 설비 로그)와 Bucket B(Measure 로그)를 wafer ID 및 ±10초 오프셋으로 자동 매칭하고, Cython 기반 hex 파싱으로 chip tile array를 복원한다. Failbit Map은 grade 0~7 등 제한된 이산 색상만을 사용하므로 32-color palette-indexed PNG로 저장하면 RGB 대비 약 75%를 절감하면서 무손실을 유지한다. 전체 변환 파이프라인은 서버에서 1시간 주기로 자동 실행되며, chip별 FTN·QTN·BIN을 annotation 파일에 사전 적재한다. 기존 20조 row 규모 DB 직접 조회는 처리 지연 및 실패가 빈번하였으나, 사전 적재 방식으로 수 ms 이하의 안정적 접근을 보장한다.</w:t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2.2 Known 불량 분류 (16-class)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약 1,500장(train/test 4:1 층화 분할) 데이터에서 ConvNeXtV2-Base [5](FCMAE+IN-22k, 384×384)를 backbone으로 채택하고 Optuna HPO [3]로 test F1 0.78→0.92를 달성하였다. arc/ring·edge_loc/edge_ring·local/random 등 wafer 내 발생 영역이 중첩되는 유사 클래스 쌍은 전역 문맥만으로는 분리가 어려워 CNN confidence가 낮게 출력된다. 이에 confidence &lt; 0.80인 저신뢰 샘플에 한해 Grad-CAM ROI [6]를 추출하고 YOLO [9]가 chip 단위 이미지를 직접 검토하여 최종 F1 0.95를 달성하였다(Fig. 1). flip 증강은 불량 방향성이 공정 원인을 결정하므로 전면 배제하였다.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1031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yolo_ro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031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1. 유사 클래스 쌍의 CNN 저신뢰 오분류 → YOLO chip 단위 교정 사례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2.3 Unknown 불량 탐지 (Open-set)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공정 변화 시 발생하는 Unknown 불량은 사전에 클래스를 정의할 수 없어 supervised 방법으로는 탐지 불가능하다. 라벨 비의존 InfoNCE(SimCLR [7])와, 웨이퍼를 6×6 구역으로 분할하여 각 구역에서 균등 샘플링하는 structured local sampling으로 임베딩을 학습한다. 이는 불량 발생 위치·형상이 공정 원인과 직결된다는 도메인 지식을 임베딩 학습에 반영한 것이다. 실제 운영 이미지 5일치(약 10,000장)로 학습 후 특정 제품의 하루 전체 Map(약 2,000장)에 HDBSCAN [8](size≥12, prob≥0.55)을 적용하였다. 하루 전체 Map 2,000장이 13개 후보 그룹으로 자동 압축되었으며(Fig. 2), 군집화된 13개 그룹은 모두 실제 이상 패턴으로 확인되어 노이즈 없이 유사 이상 이미지를 정확히 그룹화함을 입증하였다. 담당 엔지니어 검토 결과 7개(53.8%)는 현재 발생 중인 신규 불량으로 확인되었고, 나머지 6개는 1 lot 내 일시적 헌팅 또는 이미지 이상으로 식별되었다. 기존에는 이러한 이상 이미지를 체계적으로 발굴할 수단이 전무하였으나, 본 시스템은 수천 장의 운영 이미지를 자동 군집화하여 엔지니어가 그룹 단위로 신속히 검토할 수 있는 체계를 현업에 최초로 제공한다.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667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clu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67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2. 실제 운영 이미지 기반 Unknown 불량 군집화 — 2,000장을 13개 그룹으로 압축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100" w:after="60"/>
      </w:pPr>
      <w:r>
        <w:rPr>
          <w:rFonts w:ascii="Times New Roman" w:hAnsi="Times New Roman" w:eastAsia="바탕체"/>
          <w:b/>
          <w:i w:val="0"/>
          <w:sz w:val="22"/>
        </w:rPr>
        <w:t>2.4 통합 분석 UI</w:t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Failbit Map 분류로 불량의 공간적 패턴 유형을 파악한 후, 공정 원인 규명에는 FTN·QTN과의 연계가 필수적이다. FTN은 특정 테스트 항목의 불량값으로 bitline·wordline 수준의 회로 원인을 식별하고, QTN은 cell block 내 세부 cell 불량 패턴을 제공하여 해당 공정 이상까지 분석을 확장한다. 본 UI는 기존 1초/매·최대 48매 한계를 넘어 5,000매를 단일 그리드에서 로드·스크롤하며, Failbit Map·FTN·QTN overlay·composite map을 단일 화면에서 제공한다(Fig. 3). Unknown 탐지 및 Known 분류로 확인된 불량 샘플은 즉시 등록되어 AI 학습 데이터로 연결되는 human-in-the-loop 체계를 완성한다.</w:t>
      </w:r>
    </w:p>
    <w:p>
      <w:pPr>
        <w:spacing w:before="0" w:after="0"/>
      </w:pPr>
      <w:r>
        <w:rPr>
          <w:sz w:val="8"/>
        </w:rPr>
      </w:r>
    </w:p>
    <w:p>
      <w:pPr>
        <w:spacing w:before="0" w:after="20"/>
        <w:jc w:val="left"/>
      </w:pPr>
      <w:r>
        <w:drawing>
          <wp:inline xmlns:a="http://schemas.openxmlformats.org/drawingml/2006/main" xmlns:pic="http://schemas.openxmlformats.org/drawingml/2006/picture">
            <wp:extent cx="2700000" cy="964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_u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6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jc w:val="left"/>
      </w:pPr>
      <w:r>
        <w:rPr>
          <w:rFonts w:ascii="Times New Roman" w:hAnsi="Times New Roman" w:eastAsia="바탕체"/>
          <w:b/>
          <w:i w:val="0"/>
          <w:sz w:val="18"/>
        </w:rPr>
        <w:t>Fig. 3. 통합 분석 UI — Failbit Map · FTN · QTN overlay를 단일 화면에서 제공 (모식도).</w:t>
      </w:r>
    </w:p>
    <w:p>
      <w:pPr>
        <w:spacing w:before="0" w:after="120"/>
      </w:pPr>
      <w:r>
        <w:rPr>
          <w:sz w:val="8"/>
        </w:rPr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3. 실험 결과</w:t>
      </w:r>
    </w:p>
    <w:p>
      <w:pPr>
        <w:spacing w:before="0" w:after="0"/>
      </w:pPr>
      <w:r>
        <w:rPr>
          <w:sz w:val="8"/>
        </w:rPr>
      </w:r>
    </w:p>
    <w:p>
      <w:pPr>
        <w:spacing w:line="240" w:lineRule="auto" w:before="0" w:after="20"/>
        <w:jc w:val="left"/>
      </w:pPr>
      <w:r>
        <w:rPr>
          <w:rFonts w:ascii="Times New Roman" w:hAnsi="Times New Roman" w:eastAsia="바탕체"/>
          <w:b/>
          <w:i w:val="0"/>
          <w:sz w:val="18"/>
        </w:rPr>
        <w:t>Table 1. 등록 불량 분류 단계별 성능 (16-class, test Weighted F1)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구성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Test F1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비고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Baseline  (ResNet-50, 224×224)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0.78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초기 모델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ConvNeXtV2-Base + Optuna HPO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0.92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backbone + HPO</w:t>
            </w:r>
          </w:p>
        </w:tc>
      </w:tr>
      <w:tr>
        <w:tc>
          <w:tcPr>
            <w:tcW w:type="dxa" w:w="3402"/>
            <w:shd w:val="clear" w:color="auto" w:fill="F2F2F2"/>
          </w:tcPr>
          <w:p>
            <w:pPr>
              <w:jc w:val="left"/>
            </w:pPr>
            <w:r>
              <w:rPr>
                <w:rFonts w:ascii="Times New Roman" w:hAnsi="Times New Roman" w:eastAsia="바탕체"/>
                <w:b/>
                <w:i w:val="0"/>
                <w:sz w:val="18"/>
              </w:rPr>
              <w:t>+ ROI-YOLO 저신뢰 보정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3402"/>
            <w:shd w:val="clear" w:color="auto" w:fill="F2F2F2"/>
          </w:tcPr>
          <w:p>
            <w:pPr>
              <w:jc w:val="center"/>
            </w:pPr>
            <w:r>
              <w:rPr>
                <w:rFonts w:ascii="Times New Roman" w:hAnsi="Times New Roman" w:eastAsia="바탕체"/>
                <w:b w:val="0"/>
                <w:i w:val="0"/>
                <w:sz w:val="18"/>
              </w:rPr>
              <w:t>2단계 보정</w:t>
            </w:r>
          </w:p>
        </w:tc>
      </w:tr>
    </w:tbl>
    <w:p>
      <w:pPr>
        <w:spacing w:before="0" w:after="120"/>
      </w:pPr>
      <w:r>
        <w:rPr>
          <w:sz w:val="8"/>
        </w:rPr>
      </w:r>
    </w:p>
    <w:p>
      <w:pPr>
        <w:spacing w:line="240" w:lineRule="auto" w:after="40"/>
      </w:pPr>
      <w:r>
        <w:rPr>
          <w:rFonts w:ascii="Times New Roman" w:hAnsi="Times New Roman" w:eastAsia="바탕체"/>
          <w:b w:val="0"/>
          <w:i w:val="0"/>
          <w:sz w:val="20"/>
        </w:rPr>
        <w:t>Table 1과 같이 ConvNeXtV2 + Optuna HPO로 F1 0.78→0.92, ROI-YOLO 선택적 보정으로 0.92→0.95를 달성하였다. Unknown 탐지는 하루 전체 Map 2,000장을 13개 그룹으로 압축하여 7개(53.8%)를 유효 신규 불량으로 확인하였다.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4. 결론</w:t>
      </w:r>
    </w:p>
    <w:p>
      <w:pPr>
        <w:spacing w:line="240" w:lineRule="auto" w:after="40"/>
        <w:ind w:firstLine="283"/>
      </w:pPr>
      <w:r>
        <w:rPr>
          <w:rFonts w:ascii="Times New Roman" w:hAnsi="Times New Roman" w:eastAsia="바탕체"/>
          <w:b w:val="0"/>
          <w:i w:val="0"/>
          <w:sz w:val="20"/>
        </w:rPr>
        <w:t>본 연구의 핵심은 반도체 공정 도메인 지식을 AI 모델 설계에 체계적으로 반영한 Known·Unknown 불량 탐지 아키텍처에 있다. Known 분류에서는 유사 클래스의 공간적 중첩이라는 도메인 특성을 반영한 2단계 구조(ConvNeXtV2+선택적 ROI-YOLO)로 F1 0.95를 달성하였고, Unknown 탐지에서는 불량 위치·형상이 공정 원인과 직결된다는 지식을 structured local sampling에 반영하여 라벨 없는 운영 이미지에서 신규 불량을 자동 발굴하는 기능을 현업에 최초로 구현하였다. human-in-the-loop 피드백으로 모델이 지속 개선되며, 향후 Failbit Map과 FTN·QTN의 multimodal 융합 모델로 확장할 계획이다.</w:t>
      </w:r>
    </w:p>
    <w:p>
      <w:pPr>
        <w:spacing w:line="240" w:lineRule="auto" w:before="200" w:after="200"/>
      </w:pPr>
      <w:r>
        <w:rPr>
          <w:rFonts w:ascii="Times New Roman" w:hAnsi="Times New Roman" w:eastAsia="바탕체"/>
          <w:b/>
          <w:i w:val="0"/>
          <w:sz w:val="22"/>
        </w:rPr>
        <w:t>참고문헌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[1] T. Nakazawa and D. V. Kulkarni, "Wafer Map Defect Pattern Classification and Image Retrieval Using Convolutional Neural Network," IEEE Trans. Semiconductor Manufacturing, vol. 31, no. 2, pp. 309-314, 2018.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[2] M. B. Alawieh, D. Boning, and D. Z. Pan, "Wafer Map Defect Patterns Classification Using Deep Selective Learning," in Proc. 57th ACM/IEEE DAC, pp. 1-6,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[3] T. Akiba et al., "Optuna: A Next-generation Hyperparameter Optimization Framework," in Proc. 25th ACM SIGKDD, pp. 2623-2631, 2019.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[4] J. Jang and G. T. Lee, "Decision Fusion Approach for Detecting Unknown Wafer Bin Map Patterns Based on a Deep Multitask Learning Model," Expert Systems with Applications, vol. 213,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[5] S. Woo et al., "ConvNeXt V2: Co-Designing and Scaling ConvNets With Masked Autoencoders," in Proc. CVPR, pp. 16133-16142, 2023.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[6] R. R. Selvaraju et al., "Grad-CAM: Visual Explanations From Deep Networks via Gradient-Based Localization," in Proc. ICCV, pp. 618-626, 2017.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[7] T. Chen et al., "A Simple Framework for Contrastive Learning of Visual Representations," in Proc. ICML, PMLR 119, pp. 1597-1607, 2020.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[8] R. J. G. B. Campello et al., "Density-Based Clustering Based on Hierarchical Density Estimates," in PAKDD 2013, pp. 160-172, 2013.</w:t>
      </w:r>
    </w:p>
    <w:p>
      <w:pPr>
        <w:spacing w:line="240" w:lineRule="auto" w:after="20"/>
        <w:ind w:left="283" w:hanging="283"/>
      </w:pPr>
      <w:r>
        <w:rPr>
          <w:rFonts w:ascii="Times New Roman" w:hAnsi="Times New Roman" w:eastAsia="바탕체"/>
          <w:b w:val="0"/>
          <w:i w:val="0"/>
          <w:sz w:val="18"/>
        </w:rPr>
        <w:t>[9] J. Redmon et al., "You Only Look Once: Unified, Real-Time Object Detection," in Proc. CVPR, pp. 779-788, 2016.</w:t>
      </w:r>
    </w:p>
    <w:sectPr w:rsidR="00FC693F" w:rsidRPr="0006063C" w:rsidSect="00034616">
      <w:type w:val="continuous"/>
      <w:pgSz w:w="11906" w:h="16838"/>
      <w:pgMar w:top="1701" w:right="850" w:bottom="1417" w:left="850" w:header="720" w:footer="720" w:gutter="0"/>
      <w:cols w:space="283" w:num="2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