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t>Note: All numeric values in this draft are placeholders and should be replaced with actual server log results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추출한 뒤 YOLO object detection으로 chip-level 이미지를 재확인하도록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 annotation file을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더미 실험 기준으로 Optuna 기반 최적화는 validation weighted F1를 0.78에서 0.92까지 향상시켰고, 이후 low-confidence subset에 대한 선택적 ROI-YOLO 재확인을 통해 최종 0.95를 달성하였다. 또한 FTN과 QTN을 포함한 주요 Measure 값을 함께 정리하여, 사용자가 UI에서 chip별 전기적 불량과 DRAM structure 불량을 상세히 해석할 수 있는 분석 기반을 마련하였다.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r>
        <w:t>본 논문의 기여는 다음과 같다. 첫째, failbit map과 Measure 로그를 정합한 chip annotation file 및 palette-indexed PNG 표현을 통해 분석용 데이터 계층을 구축하였다. 둘째, 등록 불량 분류를 위해 CNN 기반 global classifier와 low-confidence ROI-YOLO 재확인을 결합한 2-stage 구조를 제안하였다. 셋째, 신규 불량 검출과 UI 기반 해석 흐름을 연결하여 전문가 검토와 라벨 확장을 지원하였다.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불량 이미지를 보면서 상세 불량 원인을 분석할 수 있도록 제공하였다. 즉, failbit map이 wafer 수준에서 불량 분포를 빠르게 파악하는 데 유리하다면, FTN과 QTN은 bitline과 같은 세부 동작 관점에서 어떤 종류의 불량이 해당 맵에 많이 나타나는지를 해석하는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더미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전기적 불량이 해당 이미지를 만들었는지, 그리고 어떤 DRAM structure 불량과 연결되는지를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r>
        <w:t>더미 실험 설정은 총 1500개 wafer map을 기준으로 train/validation/test를 70/15/15로 분리하고, 등록 불량 분류는 weighted F1를 중심으로 해석하였다. 반면 신규 불량 검출 경로는 정답 라벨이 미리 완비된 supervised classification 문제가 아니므로, 동일한 accuracy 또는 F1 평가를 직접 적용하지 않았다. 대신 후보 그룹 수 축소, reviewer-kept 비율, 대표 샘플 기반 검토 효율과 같은 human-in-the-loop 운영 지표를 중심으로 해석하였다. Table 1과 Table 2는 등록 불량 분류 경로에서 backbone 선택과 단계별 성능 향상을 요약한 더미 예시이다.</w:t>
      </w:r>
    </w:p>
    <w:p>
      <w:pPr>
        <w:spacing w:line="240" w:lineRule="auto" w:before="0" w:after="0"/>
        <w:jc w:val="left"/>
      </w:pPr>
      <w: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더미 분석 기준으로 low-confidence subset 120개 샘플에서 1-stage weighted F1는 0.74였으나, ROI-YOLO 재확인 이후 0.89로 향상되었고, 대표적 confusion pair 두 개에서 오분류 비율이 뚜렷하게 감소하였다.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t>신규 불량 경로의 목적은 기존 불량 분류 정확도를 높이는 것이 아니라, 신규 불량 후보를 안정적으로 추려 전문가 검토가 가능한 형태로 제시하는 데 있다. 더미 기준으로 unlabeled wafer map 420개에서 초기 HDBSCAN candidate group 38개가 생성되었고, quality filter 적용 이후 12개 대표 후보 그룹으로 축소되었다. 이 중 8개 그룹은 전문가 검토에서 신규 불량 가능성이 높은 후보로 유지되었으며, 대표 샘플 기반 검토 방식은 개별 map을 모두 확인하는 방식보다 검토 부담을 크게 줄였다. 따라서 본 경로는 정답 기반 분류 지표보다 후보 압축 능력, reviewer-kept 비율, 대표 샘플 품질, 라벨 확장 가능성과 같은 운영 관점 지표로 해석하는 것이 적절하다. 즉, 신규 불량 검출 경로의 목표는 새로운 불량을 즉시 정답 클래스로 예측하는 것이 아니라, 검토 가능한 candidate set으로 구조화하여 전문가 판단과 후속 라벨 확장을 지원하는 데 있다.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Pr>
                <w:sz w:val="16"/>
              </w:rPr>
            </w:r>
            <w:r>
              <w:rPr>
                <w:rFonts w:ascii="Times New Roman" w:hAnsi="Times New Roman" w:eastAsia="바탕체"/>
                <w:b/>
                <w:sz w:val="16"/>
              </w:rPr>
              <w:t>Backbone</w:t>
            </w:r>
          </w:p>
        </w:tc>
        <w:tc>
          <w:tcPr>
            <w:tcW w:type="dxa" w:w="2381"/>
            <w:vAlign w:val="center"/>
          </w:tcPr>
          <w:p>
            <w:pPr>
              <w:spacing w:line="240" w:lineRule="auto" w:before="0" w:after="0"/>
              <w:jc w:val="left"/>
            </w:pPr>
            <w:r>
              <w:rPr>
                <w:sz w:val="16"/>
              </w:rPr>
            </w:r>
            <w:r>
              <w:rPr>
                <w:rFonts w:ascii="Times New Roman" w:hAnsi="Times New Roman" w:eastAsia="바탕체"/>
                <w:b/>
                <w:sz w:val="16"/>
              </w:rPr>
              <w:t>Input</w:t>
            </w:r>
          </w:p>
        </w:tc>
        <w:tc>
          <w:tcPr>
            <w:tcW w:type="dxa" w:w="1701"/>
            <w:vAlign w:val="center"/>
          </w:tcPr>
          <w:p>
            <w:pPr>
              <w:spacing w:line="240" w:lineRule="auto" w:before="0" w:after="0"/>
              <w:jc w:val="left"/>
            </w:pPr>
            <w:r>
              <w:rPr>
                <w:sz w:val="16"/>
              </w:rPr>
            </w:r>
            <w:r>
              <w:rPr>
                <w:rFonts w:ascii="Times New Roman" w:hAnsi="Times New Roman" w:eastAsia="바탕체"/>
                <w:b/>
                <w:sz w:val="16"/>
              </w:rPr>
              <w:t>Method</w:t>
            </w:r>
          </w:p>
        </w:tc>
        <w:tc>
          <w:tcPr>
            <w:tcW w:type="dxa" w:w="124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EfficientNetV2-M</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0.88</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MaxViT-Base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0.89</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ViT-Base/16</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0.87</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Swin-Base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0.90</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ConvNeXtV2-Base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Pr>
                <w:sz w:val="16"/>
              </w:rPr>
            </w:r>
            <w:r>
              <w:rPr>
                <w:rFonts w:ascii="Times New Roman" w:hAnsi="Times New Roman" w:eastAsia="바탕체"/>
                <w:b/>
                <w:sz w:val="16"/>
              </w:rPr>
              <w:t>Stage</w:t>
            </w:r>
          </w:p>
        </w:tc>
        <w:tc>
          <w:tcPr>
            <w:tcW w:type="dxa" w:w="3307"/>
            <w:vAlign w:val="center"/>
          </w:tcPr>
          <w:p>
            <w:pPr>
              <w:spacing w:line="240" w:lineRule="auto" w:before="0" w:after="0"/>
              <w:jc w:val="left"/>
            </w:pPr>
            <w:r>
              <w:rPr>
                <w:sz w:val="16"/>
              </w:rPr>
            </w:r>
            <w:r>
              <w:rPr>
                <w:rFonts w:ascii="Times New Roman" w:hAnsi="Times New Roman" w:eastAsia="바탕체"/>
                <w:b/>
                <w:sz w:val="16"/>
              </w:rPr>
              <w:t>Configuration</w:t>
            </w:r>
          </w:p>
        </w:tc>
        <w:tc>
          <w:tcPr>
            <w:tcW w:type="dxa" w:w="330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Baseline</w:t>
            </w:r>
          </w:p>
        </w:tc>
        <w:tc>
          <w:tcPr>
            <w:tcW w:type="dxa" w:w="3307"/>
            <w:vAlign w:val="center"/>
          </w:tcPr>
          <w:p>
            <w:pPr>
              <w:spacing w:line="240" w:lineRule="auto" w:before="0" w:after="0"/>
              <w:jc w:val="left"/>
            </w:pPr>
            <w:r>
              <w:rPr>
                <w:sz w:val="16"/>
              </w:rPr>
            </w:r>
            <w:r>
              <w:rPr>
                <w:rFonts w:ascii="Times New Roman" w:hAnsi="Times New Roman" w:eastAsia="바탕체"/>
                <w:b w:val="0"/>
                <w:sz w:val="16"/>
              </w:rPr>
              <w:t>Initial CNN</w:t>
            </w:r>
          </w:p>
        </w:tc>
        <w:tc>
          <w:tcPr>
            <w:tcW w:type="dxa" w:w="3307"/>
            <w:vAlign w:val="center"/>
          </w:tcPr>
          <w:p>
            <w:pPr>
              <w:spacing w:line="240" w:lineRule="auto" w:before="0" w:after="0"/>
              <w:jc w:val="left"/>
            </w:pPr>
            <w:r>
              <w:rPr>
                <w:sz w:val="16"/>
              </w:rPr>
            </w:r>
            <w:r>
              <w:rPr>
                <w:rFonts w:ascii="Times New Roman" w:hAnsi="Times New Roman" w:eastAsia="바탕체"/>
                <w:b w:val="0"/>
                <w:sz w:val="16"/>
              </w:rPr>
              <w:t>0.78</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1</w:t>
            </w:r>
          </w:p>
        </w:tc>
        <w:tc>
          <w:tcPr>
            <w:tcW w:type="dxa" w:w="3307"/>
            <w:vAlign w:val="center"/>
          </w:tcPr>
          <w:p>
            <w:pPr>
              <w:spacing w:line="240" w:lineRule="auto" w:before="0" w:after="0"/>
              <w:jc w:val="left"/>
            </w:pPr>
            <w:r>
              <w:rPr>
                <w:sz w:val="16"/>
              </w:rPr>
            </w:r>
            <w:r>
              <w:rPr>
                <w:rFonts w:ascii="Times New Roman" w:hAnsi="Times New Roman" w:eastAsia="바탕체"/>
                <w:b w:val="0"/>
                <w:sz w:val="16"/>
              </w:rPr>
              <w:t>ConvNeXtV2 + Optuna</w:t>
            </w:r>
          </w:p>
        </w:tc>
        <w:tc>
          <w:tcPr>
            <w:tcW w:type="dxa" w:w="3307"/>
            <w:vAlign w:val="center"/>
          </w:tcPr>
          <w:p>
            <w:pPr>
              <w:spacing w:line="240" w:lineRule="auto" w:before="0" w:after="0"/>
              <w:jc w:val="left"/>
            </w:pPr>
            <w:r>
              <w:rPr>
                <w:sz w:val="16"/>
              </w:rPr>
            </w:r>
            <w:r>
              <w:rPr>
                <w:rFonts w:ascii="Times New Roman" w:hAnsi="Times New Roman" w:eastAsia="바탕체"/>
                <w:b w:val="0"/>
                <w:sz w:val="16"/>
              </w:rPr>
              <w:t>0.92</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2</w:t>
            </w:r>
          </w:p>
        </w:tc>
        <w:tc>
          <w:tcPr>
            <w:tcW w:type="dxa" w:w="3307"/>
            <w:vAlign w:val="center"/>
          </w:tcPr>
          <w:p>
            <w:pPr>
              <w:spacing w:line="240" w:lineRule="auto" w:before="0" w:after="0"/>
              <w:jc w:val="left"/>
            </w:pPr>
            <w:r>
              <w:rPr>
                <w:sz w:val="16"/>
              </w:rPr>
            </w:r>
            <w:r>
              <w:rPr>
                <w:rFonts w:ascii="Times New Roman" w:hAnsi="Times New Roman" w:eastAsia="바탕체"/>
                <w:b w:val="0"/>
                <w:sz w:val="16"/>
              </w:rPr>
              <w:t>+ ROI 재확인 + YOLO</w:t>
            </w:r>
          </w:p>
        </w:tc>
        <w:tc>
          <w:tcPr>
            <w:tcW w:type="dxa" w:w="3307"/>
            <w:vAlign w:val="center"/>
          </w:tcPr>
          <w:p>
            <w:pPr>
              <w:spacing w:line="240" w:lineRule="auto" w:before="0" w:after="0"/>
              <w:jc w:val="left"/>
            </w:pPr>
            <w:r>
              <w:rPr>
                <w:sz w:val="16"/>
              </w:rPr>
            </w:r>
            <w:r>
              <w:rPr>
                <w:rFonts w:ascii="Times New Roman" w:hAnsi="Times New Roman" w:eastAsia="바탕체"/>
                <w:b w:val="0"/>
                <w:sz w:val="16"/>
              </w:rPr>
              <w:t>0.95</w:t>
            </w:r>
          </w:p>
        </w:tc>
      </w:tr>
    </w:tbl>
    <w:p>
      <w:r>
        <w:t>Table 3. 저장 포맷 비교 예시</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sz w:val="16"/>
              </w:rPr>
              <w:t>Format</w:t>
            </w:r>
          </w:p>
        </w:tc>
        <w:tc>
          <w:tcPr>
            <w:tcW w:type="dxa" w:w="2551"/>
          </w:tcPr>
          <w:p>
            <w:r>
              <w:rPr>
                <w:sz w:val="16"/>
              </w:rPr>
              <w:t>Color Expression</w:t>
            </w:r>
          </w:p>
        </w:tc>
        <w:tc>
          <w:tcPr>
            <w:tcW w:type="dxa" w:w="2551"/>
          </w:tcPr>
          <w:p>
            <w:r>
              <w:rPr>
                <w:sz w:val="16"/>
              </w:rPr>
              <w:t>Recoloring</w:t>
            </w:r>
          </w:p>
        </w:tc>
        <w:tc>
          <w:tcPr>
            <w:tcW w:type="dxa" w:w="2551"/>
          </w:tcPr>
          <w:p>
            <w:r>
              <w:rPr>
                <w:sz w:val="16"/>
              </w:rPr>
              <w:t>Relative Size</w:t>
            </w:r>
          </w:p>
        </w:tc>
      </w:tr>
      <w:tr>
        <w:tc>
          <w:tcPr>
            <w:tcW w:type="dxa" w:w="2551"/>
          </w:tcPr>
          <w:p>
            <w:r>
              <w:rPr>
                <w:sz w:val="16"/>
              </w:rPr>
              <w:t>24-bit RGB PNG</w:t>
            </w:r>
          </w:p>
        </w:tc>
        <w:tc>
          <w:tcPr>
            <w:tcW w:type="dxa" w:w="2551"/>
          </w:tcPr>
          <w:p>
            <w:r>
              <w:rPr>
                <w:sz w:val="16"/>
              </w:rPr>
              <w:t>Full RGB per pixel</w:t>
            </w:r>
          </w:p>
        </w:tc>
        <w:tc>
          <w:tcPr>
            <w:tcW w:type="dxa" w:w="2551"/>
          </w:tcPr>
          <w:p>
            <w:r>
              <w:rPr>
                <w:sz w:val="16"/>
              </w:rPr>
              <w:t>Difficult</w:t>
            </w:r>
          </w:p>
        </w:tc>
        <w:tc>
          <w:tcPr>
            <w:tcW w:type="dxa" w:w="2551"/>
          </w:tcPr>
          <w:p>
            <w:r>
              <w:rPr>
                <w:sz w:val="16"/>
              </w:rPr>
              <w:t>1.00x</w:t>
            </w:r>
          </w:p>
        </w:tc>
      </w:tr>
      <w:tr>
        <w:tc>
          <w:tcPr>
            <w:tcW w:type="dxa" w:w="2551"/>
          </w:tcPr>
          <w:p>
            <w:r>
              <w:rPr>
                <w:sz w:val="16"/>
              </w:rPr>
              <w:t>32-color palette PNG</w:t>
            </w:r>
          </w:p>
        </w:tc>
        <w:tc>
          <w:tcPr>
            <w:tcW w:type="dxa" w:w="2551"/>
          </w:tcPr>
          <w:p>
            <w:r>
              <w:rPr>
                <w:sz w:val="16"/>
              </w:rPr>
              <w:t>Palette index per pixel</w:t>
            </w:r>
          </w:p>
        </w:tc>
        <w:tc>
          <w:tcPr>
            <w:tcW w:type="dxa" w:w="2551"/>
          </w:tcPr>
          <w:p>
            <w:r>
              <w:rPr>
                <w:sz w:val="16"/>
              </w:rPr>
              <w:t>Easy</w:t>
            </w:r>
          </w:p>
        </w:tc>
        <w:tc>
          <w:tcPr>
            <w:tcW w:type="dxa" w:w="2551"/>
          </w:tcPr>
          <w:p>
            <w:r>
              <w:rPr>
                <w:sz w:val="16"/>
              </w:rPr>
              <w:t>0.30x</w:t>
            </w:r>
          </w:p>
        </w:tc>
      </w:tr>
    </w:tbl>
    <w:p>
      <w:r>
        <w:t>Table 3의 더미 예시처럼 failbit map은 소수의 이산 grade 값이 반복되므로, palette-indexed PNG가 의미 보존과 사용자별 recoloring을 유지하면서도 저장 효율 측면에서 유리하다.</w:t>
      </w:r>
    </w:p>
    <w:p>
      <w:r>
        <w:t>Table 3의 더미 예시처럼 failbit map은 소수의 이산 grade 값이 반복되므로, palette-indexed PNG가 의미 보존과 사용자별 recoloring을 유지하면서도 저장 효율 측면에서 유리하다. 더미 비교 기준으로 동일 wafer map 집합을 24-bit RGB PNG와 32-color palette-indexed PNG로 각각 저장했을 때 평균 파일 크기는 약 1.00x 대 0.30x 수준으로 나타났으며, 이는 약 70% 절감 효과에 해당한다.</w:t>
      </w:r>
    </w:p>
    <w:tbl>
      <w:tblPr>
        <w:tblStyle w:val="TableGrid"/>
        <w:tblW w:type="auto" w:w="0"/>
        <w:tblLook w:firstColumn="1" w:firstRow="1" w:lastColumn="0" w:lastRow="0" w:noHBand="0" w:noVBand="1" w:val="04A0"/>
      </w:tblPr>
      <w:tblGrid>
        <w:gridCol w:w="3402"/>
        <w:gridCol w:w="3402"/>
        <w:gridCol w:w="3402"/>
      </w:tblGrid>
      <w:tr>
        <w:tc>
          <w:tcPr>
            <w:tcW w:type="dxa" w:w="3402"/>
          </w:tcPr>
          <w:p>
            <w:r>
              <w:t>Metric</w:t>
            </w:r>
          </w:p>
        </w:tc>
        <w:tc>
          <w:tcPr>
            <w:tcW w:type="dxa" w:w="3402"/>
          </w:tcPr>
          <w:p>
            <w:r>
              <w:t>Value</w:t>
            </w:r>
          </w:p>
        </w:tc>
        <w:tc>
          <w:tcPr>
            <w:tcW w:type="dxa" w:w="3402"/>
          </w:tcPr>
          <w:p>
            <w:r>
              <w:t>Remark</w:t>
            </w:r>
          </w:p>
        </w:tc>
      </w:tr>
      <w:tr>
        <w:tc>
          <w:tcPr>
            <w:tcW w:type="dxa" w:w="3402"/>
          </w:tcPr>
          <w:p>
            <w:r>
              <w:t>Initial unlabeled maps</w:t>
            </w:r>
          </w:p>
        </w:tc>
        <w:tc>
          <w:tcPr>
            <w:tcW w:type="dxa" w:w="3402"/>
          </w:tcPr>
          <w:p>
            <w:r>
              <w:t>420</w:t>
            </w:r>
          </w:p>
        </w:tc>
        <w:tc>
          <w:tcPr>
            <w:tcW w:type="dxa" w:w="3402"/>
          </w:tcPr>
          <w:p>
            <w:r>
              <w:t>dummy value</w:t>
            </w:r>
          </w:p>
        </w:tc>
      </w:tr>
      <w:tr>
        <w:tc>
          <w:tcPr>
            <w:tcW w:type="dxa" w:w="3402"/>
          </w:tcPr>
          <w:p>
            <w:r>
              <w:t>Candidate groups</w:t>
            </w:r>
          </w:p>
        </w:tc>
        <w:tc>
          <w:tcPr>
            <w:tcW w:type="dxa" w:w="3402"/>
          </w:tcPr>
          <w:p>
            <w:r>
              <w:t>38</w:t>
            </w:r>
          </w:p>
        </w:tc>
        <w:tc>
          <w:tcPr>
            <w:tcW w:type="dxa" w:w="3402"/>
          </w:tcPr>
          <w:p>
            <w:r>
              <w:t>HDBSCAN raw output</w:t>
            </w:r>
          </w:p>
        </w:tc>
      </w:tr>
      <w:tr>
        <w:tc>
          <w:tcPr>
            <w:tcW w:type="dxa" w:w="3402"/>
          </w:tcPr>
          <w:p>
            <w:r>
              <w:t>Reviewer-kept groups</w:t>
            </w:r>
          </w:p>
        </w:tc>
        <w:tc>
          <w:tcPr>
            <w:tcW w:type="dxa" w:w="3402"/>
          </w:tcPr>
          <w:p>
            <w:r>
              <w:t>8 / 12</w:t>
            </w:r>
          </w:p>
        </w:tc>
        <w:tc>
          <w:tcPr>
            <w:tcW w:type="dxa" w:w="3402"/>
          </w:tcPr>
          <w:p>
            <w:r>
              <w:t>post-filter retained groups</w:t>
            </w:r>
          </w:p>
        </w:tc>
      </w:tr>
      <w:tr>
        <w:tc>
          <w:tcPr>
            <w:tcW w:type="dxa" w:w="3402"/>
          </w:tcPr>
          <w:p>
            <w:r>
              <w:t>Review time reduction</w:t>
            </w:r>
          </w:p>
        </w:tc>
        <w:tc>
          <w:tcPr>
            <w:tcW w:type="dxa" w:w="3402"/>
          </w:tcPr>
          <w:p>
            <w:r>
              <w:t>~63%</w:t>
            </w:r>
          </w:p>
        </w:tc>
        <w:tc>
          <w:tcPr>
            <w:tcW w:type="dxa" w:w="3402"/>
          </w:tcPr>
          <w:p>
            <w:r>
              <w:t>representative-sample-based review</w:t>
            </w:r>
          </w:p>
        </w:tc>
      </w:tr>
    </w:tbl>
    <w:p>
      <w:r>
        <w:t>이 결과는 신규 불량 검출 경로가 모든 unlabeled map을 직접 판독하는 방식보다 검토 대상을 줄이면서도 대표 후보를 유지할 수 있음을 보여주는 더미 예시이다.</w:t>
      </w:r>
    </w:p>
    <w:p>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0" w:after="200"/>
        <w:jc w:val="left"/>
      </w:pPr>
      <w:r>
        <w:t>Table 4. 신규 불량 검출 운영 지표 예시</w:t>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이 결과는 신규 불량 검출 경로가 모든 unlabeled map을 직접 판독하는 방식보다 검토 대상을 줄이면서도 대표 후보를 유지할 수 있음을 보여주는 더미 예시이다. 최종 원고에서는 product 또는 lot 기준의 실제 검토 로그와 함께 reviewer-kept 비율, rejected group 비율, 대표 샘플 수, 검토 시간 절감 효과를 정식 표로 제시하는 것이 바람직하다.</w:t>
      </w:r>
    </w:p>
    <w:p>
      <w:pPr>
        <w:spacing w:line="240" w:lineRule="auto" w:before="200" w:after="200"/>
        <w:jc w:val="left"/>
      </w:pPr>
      <w:r>
        <w:t>한편, 본 논문의 성능 수치와 후보 수는 현재 서버 로그를 바탕으로 정리 중인 더미 예시를 포함하므로, 최종 제출 시에는 product/lot 분리 조건과 실제 운영 로그 기준의 정식 수치로 교체할 필요가 있다. 또한 신규 불량 검출 경로는 정답 라벨이 미리 완비된 문제가 아니므로, 등록 불량 분류와 동일한 accuracy 기반 지표보다 human-in-the-loop 운영 지표로 평가하는 것이 타당하다. FTN과 QTN은 현재 해석용 Measure 정보로 활용되며, 향후에는 이미지와 Measure를 함께 사용하는 multimodal 확장 여부를 별도로 검증해야 한다.</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low-confidence subset에 대한 Grad-CAM ROI와 YOLO 이차 검증을 통해 최종 0.95를 달성하였다. 신규 불량 경로에서는 contrastive self-supervised 방식과 HDBSCAN을 적용하여 신규 불량 후보를 선별하고, 정답 기반 분류가 아닌 human-in-the-loop 검토와 신규 라벨 확장을 지원하는 운영 구조를 마련하였다. 또한 FTN과 QTN을 포함한 주요 Measure 값을 chip annotation file에 함께 저장함으로써, 사용자가 UI에서 chip별 전기적 불량과 DRAM structure 불량을 상세히 해석할 수 있는 분석 기반을 확보하였다.</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p/>
    <w:p/>
    <w:p/>
    <w:p/>
    <w:p/>
    <w:p/>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