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60"/>
        <w:jc w:val="left"/>
      </w:pPr>
      <w:r>
        <w:rPr>
          <w:rFonts w:ascii="Times New Roman" w:hAnsi="Times New Roman" w:eastAsia="바탕체"/>
          <w:b/>
          <w:i w:val="0"/>
          <w:sz w:val="40"/>
        </w:rPr>
        <w:t>좌표 보존형 Failbit Map 기반 반도체 웨이퍼·칩 불량 분석 파이프라인</w:t>
      </w:r>
    </w:p>
    <w:p>
      <w:pPr>
        <w:spacing w:line="240" w:lineRule="auto" w:before="0" w:after="80"/>
        <w:jc w:val="left"/>
      </w:pPr>
      <w:r>
        <w:rPr>
          <w:rFonts w:ascii="Times New Roman" w:hAnsi="Times New Roman" w:eastAsia="바탕체"/>
          <w:b/>
          <w:i w:val="0"/>
          <w:sz w:val="24"/>
        </w:rPr>
        <w:t>Coordinate-Preserving Failbit Map Pipeline for Wafer- and Chip-Level Semiconductor Failure Analysis</w:t>
      </w:r>
    </w:p>
    <w:p>
      <w:pPr>
        <w:spacing w:line="240" w:lineRule="auto" w:before="0" w:after="40"/>
        <w:jc w:val="left"/>
      </w:pPr>
      <w:r>
        <w:rPr>
          <w:rFonts w:ascii="Times New Roman" w:hAnsi="Times New Roman" w:eastAsia="바탕체"/>
          <w:b/>
          <w:i w:val="0"/>
          <w:sz w:val="24"/>
        </w:rPr>
        <w:t>최호길</w:t>
      </w:r>
      <w:r>
        <w:rPr>
          <w:rFonts w:ascii="Times New Roman" w:hAnsi="Times New Roman" w:eastAsia="바탕체"/>
          <w:b/>
          <w:i w:val="0"/>
          <w:sz w:val="24"/>
          <w:vertAlign w:val="superscript"/>
        </w:rPr>
        <w:t>1</w:t>
      </w:r>
      <w:r>
        <w:rPr>
          <w:rFonts w:ascii="Times New Roman" w:hAnsi="Times New Roman" w:eastAsia="바탕체"/>
          <w:b/>
          <w:i w:val="0"/>
          <w:sz w:val="24"/>
        </w:rPr>
        <w:t>, 홍지훈</w:t>
      </w:r>
      <w:r>
        <w:rPr>
          <w:rFonts w:ascii="Times New Roman" w:hAnsi="Times New Roman" w:eastAsia="바탕체"/>
          <w:b/>
          <w:i w:val="0"/>
          <w:sz w:val="24"/>
          <w:vertAlign w:val="superscript"/>
        </w:rPr>
        <w:t>1</w:t>
      </w:r>
      <w:r>
        <w:rPr>
          <w:rFonts w:ascii="Times New Roman" w:hAnsi="Times New Roman" w:eastAsia="바탕체"/>
          <w:b/>
          <w:i w:val="0"/>
          <w:sz w:val="24"/>
        </w:rPr>
        <w:t>, 김성호</w:t>
      </w:r>
      <w:r>
        <w:rPr>
          <w:rFonts w:ascii="Times New Roman" w:hAnsi="Times New Roman" w:eastAsia="바탕체"/>
          <w:b/>
          <w:i w:val="0"/>
          <w:sz w:val="24"/>
          <w:vertAlign w:val="superscript"/>
        </w:rPr>
        <w:t>2</w:t>
      </w:r>
    </w:p>
    <w:p>
      <w:pPr>
        <w:spacing w:line="240" w:lineRule="auto" w:before="0" w:after="100"/>
        <w:jc w:val="both"/>
      </w:pPr>
      <w:r>
        <w:rPr>
          <w:rFonts w:ascii="Times New Roman" w:hAnsi="Times New Roman" w:eastAsia="바탕체"/>
          <w:b/>
          <w:i w:val="0"/>
          <w:sz w:val="20"/>
        </w:rPr>
        <w:t xml:space="preserve">Abstract - </w:t>
      </w:r>
      <w:r>
        <w:rPr>
          <w:rFonts w:ascii="Times New Roman" w:hAnsi="Times New Roman" w:eastAsia="바탕체"/>
          <w:b/>
          <w:i w:val="0"/>
          <w:sz w:val="20"/>
        </w:rPr>
        <w:t>Failbit Map은 wafer 위 failure 위치와 grade를 함께 남기는 진단 자료다. 그러나 현업 분석에서는 chip별 measure value, map review, 라벨 기록이 따로 남는 경우가 많다. 담당자는 의심 wafer를 다시 찾고 map과 수치를 맞춰 보아야 하므로, 반복 pattern을 대량으로 비교하거나 신규 failure를 빠르게 가려내기 어렵다. 이번 작업에서는 EDS(Electrical Die Sorting) raw log에서 만든 Failbit Map, chip 좌표, chip measure, 모델 출력, review label을 같은 wafer 좌표계에 맞췄다. 이 좌표 보존 자산 위에서 등록 failure는 ConvNeXtV2-Base와 저신뢰 표본 한정 ROI(Region of Interest)-YOLO(You Only Look Once) 2-stage로 field validation weighted F1 0.95를 얻었다. 라벨이 없는 신규 패턴은 contrastive embedding과 HDBSCAN(Hierarchical Density-Based Spatial Clustering of Applications with Noise)으로 운영 wafer를 13개 검토 group으로 정리했고, 현업 검토에서 7개 신규 failure group을 확인했다. chip 수준에서는 object-id map을 생성 데이터 기준 후속 개발 항목으로 두고, FCM-PM(Full-Cover CutMix + Pair Mask)으로 single-failure source 기반 2-combo controlled synthetic benchmark에서 micro-F1(bit-F1) 0.9927과 false alarm 0.00%를 얻었다. 각 결과는 field validation, field review, generated development, controlled synthetic benchmark로 나누어 해석했다. 따라서 Failbit Map은 한 번 보고 끝나는 그림이 아니라, 담당자가 다시 찾고 chip 근거를 확인하며 라벨을 쌓아 다음 학습에 연결할 수 있는 좌표 보존 분석 자산이 된다.</w:t>
      </w:r>
    </w:p>
    <w:p>
      <w:pPr>
        <w:spacing w:line="240" w:lineRule="auto" w:before="0" w:after="160"/>
        <w:jc w:val="left"/>
      </w:pPr>
      <w:r>
        <w:rPr>
          <w:rFonts w:ascii="Times New Roman" w:hAnsi="Times New Roman" w:eastAsia="바탕체"/>
          <w:b/>
          <w:i w:val="0"/>
          <w:sz w:val="18"/>
        </w:rPr>
        <w:t>Keywords:</w:t>
      </w:r>
      <w:r>
        <w:rPr>
          <w:rFonts w:ascii="Times New Roman" w:hAnsi="Times New Roman" w:eastAsia="바탕체"/>
          <w:b w:val="0"/>
          <w:i w:val="0"/>
          <w:sz w:val="18"/>
        </w:rPr>
        <w:t xml:space="preserve"> Wafer Failure Analysis, Failbit Map, EDS Test, ConvNeXtV2, ROI-YOLO, Object-ID Map, Contrastive Learning, HDBSCAN, Palette PNG, Multi-label Classification, CutMix</w:t>
      </w:r>
    </w:p>
    <w:p>
      <w:pPr>
        <w:sectPr>
          <w:headerReference w:type="default" r:id="rId9"/>
          <w:footerReference w:type="default" r:id="rId10"/>
          <w:pgSz w:w="11906" w:h="16838"/>
          <w:pgMar w:top="850" w:right="850" w:bottom="850" w:left="850" w:header="567" w:footer="283" w:gutter="0"/>
          <w:cols w:space="720" w:num="1"/>
          <w:docGrid w:linePitch="360"/>
        </w:sectPr>
      </w:pPr>
    </w:p>
    <w:p>
      <w:pPr>
        <w:spacing w:line="240" w:lineRule="auto" w:before="160" w:after="80"/>
        <w:jc w:val="left"/>
      </w:pPr>
      <w:r>
        <w:rPr>
          <w:rFonts w:ascii="Times New Roman" w:hAnsi="Times New Roman" w:eastAsia="바탕체"/>
          <w:b/>
          <w:i w:val="0"/>
          <w:sz w:val="24"/>
        </w:rPr>
        <w:t>1. 서론</w:t>
      </w:r>
    </w:p>
    <w:p>
      <w:pPr>
        <w:spacing w:line="240" w:lineRule="auto" w:before="0" w:after="60"/>
        <w:jc w:val="both"/>
      </w:pPr>
      <w:r>
        <w:rPr>
          <w:rFonts w:ascii="Times New Roman" w:hAnsi="Times New Roman" w:eastAsia="바탕체"/>
          <w:b w:val="0"/>
          <w:i w:val="0"/>
          <w:sz w:val="20"/>
        </w:rPr>
        <w:t>DRAM(Dynamic Random Access Memory)은 데이터를 저장하는 최소 단위인 cell과, 다수 cell이 묶여 검사 단계에서 한 번에 동작하고 평가되는 cell block으로 구성된다. 양산 라인은 EDS(Electrical Die Sorting) 검사에서 각 cell block이 정상 동작하는지, 얼마나 빠르게 동작하는지, 반복 동작이 안정적인지를 전기적으로 측정한다. block 내부 cell들의 불량 정도를 하나의 값으로 나타낸 것이 failbit이며, 본 파이프라인은 이를 Grade 0(정상)부터 7(최대 불량)까지로 양자화한다. wafer 위 모든 block 위치의 failbit를 좌표계에 모은 것이 Failbit Map이다. EDS는 동작 속도와 반복 안정성 등을 chip별 수치 feature로 요약한 measure value(FTN/QTN 등 계측 항목)도 함께 산출하므로, 한 wafer는 공간 이미지인 Failbit Map과 chip별 계측값이라는 두 형태의 정보를 동시에 가진다. 이 cell에서 Failbit Map까지의 관계를 Figure 1에 정리하였다.</w:t>
      </w:r>
    </w:p>
    <w:p>
      <w:pPr>
        <w:spacing w:line="240" w:lineRule="auto" w:before="0" w:after="40"/>
        <w:jc w:val="center"/>
      </w:pPr>
      <w:r>
        <w:drawing>
          <wp:inline xmlns:a="http://schemas.openxmlformats.org/drawingml/2006/main" xmlns:pic="http://schemas.openxmlformats.org/drawingml/2006/picture">
            <wp:extent cx="2951999" cy="1697399"/>
            <wp:docPr id="1" name="Picture 1"/>
            <wp:cNvGraphicFramePr>
              <a:graphicFrameLocks noChangeAspect="1"/>
            </wp:cNvGraphicFramePr>
            <a:graphic>
              <a:graphicData uri="http://schemas.openxmlformats.org/drawingml/2006/picture">
                <pic:pic>
                  <pic:nvPicPr>
                    <pic:cNvPr id="0" name="fig01_dram_to_fbm.png"/>
                    <pic:cNvPicPr/>
                  </pic:nvPicPr>
                  <pic:blipFill>
                    <a:blip r:embed="rId15"/>
                    <a:stretch>
                      <a:fillRect/>
                    </a:stretch>
                  </pic:blipFill>
                  <pic:spPr>
                    <a:xfrm>
                      <a:off x="0" y="0"/>
                      <a:ext cx="2951999" cy="16973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1. From DRAM cell to Failbit Map. EDS converts cell-block failure into grade 0-7 and chip-level measures, then places each block grade on wafer coordinates.</w:t>
      </w:r>
    </w:p>
    <w:p>
      <w:pPr>
        <w:spacing w:line="240" w:lineRule="auto" w:before="0" w:after="60"/>
        <w:jc w:val="both"/>
      </w:pPr>
      <w:r>
        <w:rPr>
          <w:rFonts w:ascii="Times New Roman" w:hAnsi="Times New Roman" w:eastAsia="바탕체"/>
          <w:b w:val="0"/>
          <w:i w:val="0"/>
          <w:sz w:val="20"/>
        </w:rPr>
        <w:t>Failbit Map은 단순한 불량률 집계와 다르다. 같은 불량률이라도 불량이 가장자리 환형인지, 중앙 밀집인지, 특정 방향 편중인지에 따라 설비와 공정 원인이 달라진다. 위치와 분포, 방향, 형태가 그 자체로 진단 정보다. Failbit Map은 웨이퍼 전역 형상, zone 위치, chip 내부 형태라는 세 층위를 담아 measure value만으로 보이지 않는 공간 패턴과 layout-structure 연관성을 드러낸다.</w:t>
      </w:r>
    </w:p>
    <w:p>
      <w:pPr>
        <w:spacing w:line="240" w:lineRule="auto" w:before="0" w:after="60"/>
        <w:jc w:val="both"/>
      </w:pPr>
      <w:r>
        <w:rPr>
          <w:rFonts w:ascii="Times New Roman" w:hAnsi="Times New Roman" w:eastAsia="바탕체"/>
          <w:b w:val="0"/>
          <w:i w:val="0"/>
          <w:sz w:val="20"/>
        </w:rPr>
        <w:t>현장 분석은 오랫동안 measure value를 중심으로 이루어졌다. 담당자는 chip별 수치로 fail 여부를 먼저 확인하고, 수식과 임계값을 조합해 반복되는 고질 불량을 분류했다. 이 방식은 빠르고 근거도 분명하다. 다만 chip을 몇 개의 수치로 줄여 보는 순간, 주변 chip과의 관계나 wafer 안에서 반복되는 형태는 함께 사라진다. 같은 fail rate라도 edge-ring, center-cluster, directional pattern은 전혀 다른 공정 원인을 가리킬 수 있다. 그래서 원인 해석 단계에서는 결국 Failbit Map을 다시 확인해야 한다. 의심스러운 wafer는 Failbit Map이나 TEM(Transmission Electron Microscopy)으로 시료를 잘라 CD(Critical Dimension)나 miss-alignment 같은 pattern을 확인하고 공정 structure와 layout 원인을 해석했다. 기존 도구로는 한 번에 약 48매까지만 조회할 수 있어 전수 검토도 어려웠다. 원인 해석에는 Failbit Map 확인이 사실상 필수였지만, 대용량 raw log 처리, 이미지 생성 속도, 저장 용량, chip 좌표 정합 같은 기술 문제로 Failbit Map을 반복 검토 가능한 자료로 만들기는 쉽지 않았다.</w:t>
      </w:r>
    </w:p>
    <w:p>
      <w:pPr>
        <w:spacing w:line="240" w:lineRule="auto" w:before="0" w:after="60"/>
        <w:jc w:val="both"/>
      </w:pPr>
      <w:r>
        <w:rPr>
          <w:rFonts w:ascii="Times New Roman" w:hAnsi="Times New Roman" w:eastAsia="바탕체"/>
          <w:b w:val="0"/>
          <w:i w:val="0"/>
          <w:sz w:val="20"/>
        </w:rPr>
        <w:t>Failbit Map 위에서 다루는 불량은 등록된 Known failure와 아직 라벨 합의가 끝나지 않은 Unknown failure로 나뉜다. 등록된 failure는 16-class 라벨 체계 안에서 지도학습으로 다룰 수 있지만, Unknown failure는 신규 후보라 바로 F1이나 recall로 평가하기 어렵다. 기존 분류기는 신규 패턴을 인접 class로 흡수하거나 낮은 신뢰도로 기각해 담당자에게 단서를 주지 못한다. 이 때문에 담당자는 Known 판정, 검토할 Unknown 후보 선별, 이미지와 chip 계측 근거 확인, 신규 라벨 등록 여부, 양산 noise와 진성 불량의 구분을 서로 다른 도구와 문서 사이에서 맞춰야 했다.</w:t>
      </w:r>
    </w:p>
    <w:p>
      <w:pPr>
        <w:spacing w:line="240" w:lineRule="auto" w:before="0" w:after="60"/>
        <w:jc w:val="both"/>
      </w:pPr>
      <w:r>
        <w:rPr>
          <w:rFonts w:ascii="Times New Roman" w:hAnsi="Times New Roman" w:eastAsia="바탕체"/>
          <w:b w:val="0"/>
          <w:i w:val="0"/>
          <w:sz w:val="20"/>
        </w:rPr>
        <w:t>출발점은 현업에서 반복해서 부딪힌 두 문제였다. Failbit Map을 대량으로 만들고 볼 수 있어야 했고, 사람이 정한 임계값만으로는 신규 pattern을 놓칠 수 있었다. 실제 작업은 raw log를 palette PNG와 chip annotation으로 바꾸는 데서 시작했다. FTN, QTN, BIN measure는 같은 chip 좌표에 붙이고, 모델 출력과 review label도 wafer ID와 chip 위치로 다시 찾을 수 있게 했다. 이 자료 위에서 등록된 Known failure를 판정하고, label이 없는 Unknown failure는 검토 group으로 정리했다. chip 수준에서는 이미 알고 있는 chip 좌표를 쓰는 object-id map과 single 불량 chip만으로 2-combo를 학습하는 FCM-PM을 별도 경로로 두었다. 담당자는 review 화면에서 wafer를 검색하고, map과 chip overlay를 보며, measure와 라벨을 같은 자리에서 확인한다. 현업에서 줄어든 일과 모델 평가에서 얻은 숫자는 같은 종류가 아니다. 그래서 Known F1, Unknown 13→7, object-id map, FCM-PM, 운영 효과는 Table 3에서 출처를 따로 표시했고 한 점수처럼 더하지 않았다.</w:t>
      </w:r>
    </w:p>
    <w:p>
      <w:pPr>
        <w:spacing w:line="240" w:lineRule="auto" w:before="0" w:after="60"/>
        <w:jc w:val="both"/>
      </w:pPr>
      <w:r>
        <w:rPr>
          <w:rFonts w:ascii="Times New Roman" w:hAnsi="Times New Roman" w:eastAsia="바탕체"/>
          <w:b w:val="0"/>
          <w:i w:val="0"/>
          <w:sz w:val="20"/>
        </w:rPr>
        <w:t>여기서 계속 붙잡은 기준은 모델 개수가 아니라 좌표였다. 이미지, chip 좌표, 계측값, review 결과가 같은 wafer 좌표에 남아야 담당자가 한 wafer를 다시 열었을 때 같은 chip을 볼 수 있다. 그래야 Known 판정 결과, Unknown 검토 대상, chip-level 검증 결과가 서로 다른 파일에 흩어지지 않는다. chip 위치는 제품 layout으로 이미 정해져 있다. 이 좌표를 그대로 쓰면 detector가 다시 위치를 찾을 필요가 줄어든다. object-id를 자연 해상도 one-hot으로 두면 chip별 class 패턴도 wafer grid 위에 그대로 남는다(측정 근거는 2.2.1). 이 결과는 모델 용량 우열이 아니라 입력 표현의 효과로 해석한다. 정답 2-combo 라벨이 없는 조건에서는 FCM-PM으로 단일 불량 chip에서 중복 불량 학습 신호를 만들었다. Pair Mask가 합성 background의 false alarm을 줄이는 원인이라는 점은 ablation으로 확인하였다(2.2.3). object-id map은 양산 적용 성과가 아니라 생성 데이터 기준 후속 개발 결과다(2.2.1).</w:t>
      </w:r>
    </w:p>
    <w:p>
      <w:pPr>
        <w:spacing w:line="240" w:lineRule="auto" w:before="100" w:after="40"/>
        <w:jc w:val="left"/>
      </w:pPr>
      <w:r>
        <w:rPr>
          <w:rFonts w:ascii="Times New Roman" w:hAnsi="Times New Roman" w:eastAsia="바탕체"/>
          <w:b/>
          <w:i w:val="0"/>
          <w:sz w:val="20"/>
        </w:rPr>
        <w:t>1.1. 기술 개요</w:t>
      </w:r>
    </w:p>
    <w:p>
      <w:pPr>
        <w:spacing w:line="240" w:lineRule="auto" w:before="0" w:after="60"/>
        <w:jc w:val="both"/>
      </w:pPr>
      <w:r>
        <w:rPr>
          <w:rFonts w:ascii="Times New Roman" w:hAnsi="Times New Roman" w:eastAsia="바탕체"/>
          <w:b w:val="0"/>
          <w:i w:val="0"/>
          <w:sz w:val="20"/>
        </w:rPr>
        <w:t>설계할 때 가장 먼저 둔 조건은 웨이퍼의 공간 의미를 손상시키지 않는 것이었다. 그래서 저장은 RGB가 아니라 palette로 했고, 방향 의미가 바뀌는 flip 증강은 쓰지 않았다. backbone은 국소 수용장과 선택적 2-stage 검증을 기준으로 골랐다. Unknown 학습에서는 random crop 대신 격자를 고정했고, object-id 입력은 정수 보간 대신 categorical one-hot으로 두었다. Table 1에는 이 선택들이 실제로 어느 단계에 쓰였는지 정리했다. palette PNG는 map을 저장하고, fixed chip crop은 chip 단위 판단을 만들며, web 화면은 같은 좌표의 map과 measure, label을 같이 보여 준다. Unknown 경로의 InfoNCE(Information Noise-Contrastive Estimation)는 라벨 없이 같은 wafer는 가깝게 다른 wafer는 멀게 임베딩을 학습하는 대조학습 목적함수이고, HDBSCAN[7]은 밀도 군집과 noise를 함께 분리하는 군집화 방법이다.</w:t>
      </w:r>
    </w:p>
    <w:p>
      <w:pPr>
        <w:keepNext/>
        <w:spacing w:line="240" w:lineRule="auto" w:before="0" w:after="40"/>
        <w:jc w:val="left"/>
      </w:pPr>
      <w:r>
        <w:rPr>
          <w:rFonts w:ascii="Times New Roman" w:hAnsi="Times New Roman" w:eastAsia="바탕체"/>
          <w:b w:val="0"/>
          <w:i w:val="0"/>
          <w:sz w:val="18"/>
        </w:rPr>
        <w:t>Table 1. Proposed pipeline layers and validation scope.</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Layer</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Method</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Validation scope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Data layer</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Cython parser, palette PNG, chip annotation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 implementation</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Known recognition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ConvNeXtV2, selective ROI-YOLO</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validation</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 evidence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object-id map</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generated development</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 discovery</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InfoNCE, HDBSCAN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review</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 multi-label</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FCM-PM, val_margin, NB reject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controlled synthetic benchmark</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Review layer</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web UI, label feedback</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operation</w:t>
            </w:r>
          </w:p>
        </w:tc>
      </w:tr>
    </w:tbl>
    <w:p/>
    <w:p>
      <w:pPr>
        <w:spacing w:line="240" w:lineRule="auto" w:before="0" w:after="60"/>
        <w:jc w:val="both"/>
      </w:pPr>
      <w:r>
        <w:rPr>
          <w:rFonts w:ascii="Times New Roman" w:hAnsi="Times New Roman" w:eastAsia="바탕체"/>
          <w:b w:val="0"/>
          <w:i w:val="0"/>
          <w:sz w:val="20"/>
        </w:rPr>
        <w:t>전체 데이터 흐름은 다음과 같다(Figure 2).</w:t>
      </w:r>
    </w:p>
    <w:p>
      <w:pPr>
        <w:spacing w:line="240" w:lineRule="auto" w:before="0" w:after="40"/>
        <w:jc w:val="center"/>
      </w:pPr>
      <w:r>
        <w:drawing>
          <wp:inline xmlns:a="http://schemas.openxmlformats.org/drawingml/2006/main" xmlns:pic="http://schemas.openxmlformats.org/drawingml/2006/picture">
            <wp:extent cx="2951999" cy="1660499"/>
            <wp:docPr id="2" name="Picture 2"/>
            <wp:cNvGraphicFramePr>
              <a:graphicFrameLocks noChangeAspect="1"/>
            </wp:cNvGraphicFramePr>
            <a:graphic>
              <a:graphicData uri="http://schemas.openxmlformats.org/drawingml/2006/picture">
                <pic:pic>
                  <pic:nvPicPr>
                    <pic:cNvPr id="0" name="fig02_pipeline_architecture.png"/>
                    <pic:cNvPicPr/>
                  </pic:nvPicPr>
                  <pic:blipFill>
                    <a:blip r:embed="rId16"/>
                    <a:stretch>
                      <a:fillRect/>
                    </a:stretch>
                  </pic:blipFill>
                  <pic:spPr>
                    <a:xfrm>
                      <a:off x="0" y="0"/>
                      <a:ext cx="2951999" cy="16604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2. Coordinate-preserving analysis pipeline. EDS raw logs and chip-level measures are aligned into one wafer unit, then branched into a Known validation path (ConvNeXtV2 → selective ROI-YOLO → object-id map [under development]) and an Unknown review-group path (InfoNCE → HDBSCAN), with web review feeding labels back as training data.</w:t>
      </w:r>
    </w:p>
    <w:p>
      <w:pPr>
        <w:spacing w:line="240" w:lineRule="auto" w:before="0" w:after="60"/>
        <w:jc w:val="both"/>
      </w:pPr>
      <w:r>
        <w:rPr>
          <w:rFonts w:ascii="Times New Roman" w:hAnsi="Times New Roman" w:eastAsia="바탕체"/>
          <w:b w:val="0"/>
          <w:i w:val="0"/>
          <w:sz w:val="20"/>
        </w:rPr>
        <w:t>위 흐름은 wafer 수준 Known/Unknown 분석 경로다. 같은 데이터 파이프라인에서 나온 chip crop은 chip 수준 multi-label 분류에도 들어가며, 그 구조는 2.1.4에서 다룬다. 2장에서는 먼저 설계 근거를 설명하고, 이어 측정 결과와 운영 결과를 정리한다.</w:t>
      </w:r>
    </w:p>
    <w:p>
      <w:pPr>
        <w:spacing w:line="240" w:lineRule="auto" w:before="100" w:after="40"/>
        <w:jc w:val="left"/>
      </w:pPr>
      <w:r>
        <w:rPr>
          <w:rFonts w:ascii="Times New Roman" w:hAnsi="Times New Roman" w:eastAsia="바탕체"/>
          <w:b/>
          <w:i w:val="0"/>
          <w:sz w:val="20"/>
        </w:rPr>
        <w:t>1.2. 관련 연구</w:t>
      </w:r>
    </w:p>
    <w:p>
      <w:pPr>
        <w:spacing w:line="240" w:lineRule="auto" w:before="0" w:after="60"/>
        <w:jc w:val="both"/>
      </w:pPr>
      <w:r>
        <w:rPr>
          <w:rFonts w:ascii="Times New Roman" w:hAnsi="Times New Roman" w:eastAsia="바탕체"/>
          <w:b w:val="0"/>
          <w:i w:val="0"/>
          <w:sz w:val="20"/>
        </w:rPr>
        <w:t>웨이퍼 맵 불량 분석은 규칙 기반 방법과 고전 ML을 거쳐 CNN 분류로 발전해 왔다. 공개 데이터셋 WM-811K를 CNN으로 분류한 연구 [1][2]는 die 단위 wafer-level 패턴 분류에 중심을 두고, wafer-level 라벨만으로 chip 불량을 추정하는 [18]도 chip 형태를 좌표에 복원하지는 않는다. 여기서 쓰는 object-id map은 chip 분류 id를 wafer 격자 제자리에 categorical로 되돌려 형태(morphology)와 위치를 함께 보존한다. 한 chip에 둘 이상이 겹치는 혼합형 불량은 bin map에서 CNN으로 분류된 바 있으나 [19] 이는 wafer 단위 혼합 패턴을 실제 mixed 라벨로 학습한다. 여기서는 chip 단위에서 단일 불량만으로 2-combo를 합성 학습(FCM-PM)해 mixed 라벨 부족을 다룬다. 라벨 없는 신규 패턴 탐색은 대조 학습과 군집화 [3][6], open-set recognition [20], 대조 deep clustering [21], open-world 군집화와 decision fusion [4]로 이어졌고 대개 공개 bin map에서 ARI(Adjusted Rand Index), NMI(Normalized Mutual Information), silhouette로 평가된다. Unknown 경로도 대조-군집 계열을 쓰지만, 정답 라벨이 없는 양산 운영의 좌표 보존 FBM에서 동작하므로 합성 평가셋에서만 이 관례를 따르고 실전에서는 13개 group을 현업 검토 대상으로 올려 7개 신규 불량을 확인하였다.</w:t>
      </w:r>
    </w:p>
    <w:p>
      <w:pPr>
        <w:spacing w:line="240" w:lineRule="auto" w:before="0" w:after="60"/>
        <w:jc w:val="both"/>
      </w:pPr>
      <w:r>
        <w:rPr>
          <w:rFonts w:ascii="Times New Roman" w:hAnsi="Times New Roman" w:eastAsia="바탕체"/>
          <w:b w:val="0"/>
          <w:i w:val="0"/>
          <w:sz w:val="20"/>
        </w:rPr>
        <w:t>같은 좌표계 안에 chip 형태를 되돌려 놓으면 해석 방식이 달라진다. object-id map은 chip 분류 id를 원래 wafer 위치에 다시 배치하고, FCM-PM은 실제 mixed 라벨이 부족한 조건에서 chip-level 2-combo 학습 신호를 만든다. 라벨 없는 운영 wafer에서는 정답이 있는 분류 점수를 낼 수 없어서, 운영 wafer를 13개 검토 group으로 정리하고 그중 7개 신규 불량을 확인하는 방식으로 보았다. 모델 용량보다 입력 표현이 성능을 좌우한다는 [13]의 관점에서 보면, categorical 신호에는 정수 보간보다 자연 해상도 one-hot이 더 적합했다(정량 근거 2.2.1). 2-stage 보정은 coarse-to-fine cascade 검출 [10][12]을 wafer의 chip 단위 class 검증에 맞게 재구성한 것이다. ConvNeXtV2, YOLO, InfoNCE, HDBSCAN 자체는 기성 방법이다. 다만 여기서는 좌표 의미를 보존한다는 제약을 기준으로 palette 표현, flip 배제, backbone, structured sampling, one-hot 인코딩을 골랐다.</w:t>
      </w:r>
    </w:p>
    <w:p>
      <w:pPr>
        <w:spacing w:line="240" w:lineRule="auto" w:before="160" w:after="80"/>
        <w:jc w:val="left"/>
      </w:pPr>
      <w:r>
        <w:rPr>
          <w:rFonts w:ascii="Times New Roman" w:hAnsi="Times New Roman" w:eastAsia="바탕체"/>
          <w:b/>
          <w:i w:val="0"/>
          <w:sz w:val="24"/>
        </w:rPr>
        <w:t>2. 본론</w:t>
      </w:r>
    </w:p>
    <w:p>
      <w:pPr>
        <w:spacing w:line="240" w:lineRule="auto" w:before="0" w:after="60"/>
        <w:jc w:val="both"/>
      </w:pPr>
      <w:r>
        <w:rPr>
          <w:rFonts w:ascii="Times New Roman" w:hAnsi="Times New Roman" w:eastAsia="바탕체"/>
          <w:b w:val="0"/>
          <w:i w:val="0"/>
          <w:sz w:val="20"/>
        </w:rPr>
        <w:t>2장은 구현 구조를 먼저 설명하고, 뒤에서 측정 결과와 운영 결과를 다룬다.</w:t>
      </w:r>
    </w:p>
    <w:p>
      <w:pPr>
        <w:spacing w:line="240" w:lineRule="auto" w:before="100" w:after="40"/>
        <w:jc w:val="left"/>
      </w:pPr>
      <w:r>
        <w:rPr>
          <w:rFonts w:ascii="Times New Roman" w:hAnsi="Times New Roman" w:eastAsia="바탕체"/>
          <w:b/>
          <w:i w:val="0"/>
          <w:sz w:val="20"/>
        </w:rPr>
        <w:t>2.1. 제안 방법</w:t>
      </w:r>
    </w:p>
    <w:p>
      <w:pPr>
        <w:spacing w:line="240" w:lineRule="auto" w:before="100" w:after="40"/>
        <w:jc w:val="left"/>
      </w:pPr>
      <w:r>
        <w:rPr>
          <w:rFonts w:ascii="Times New Roman" w:hAnsi="Times New Roman" w:eastAsia="바탕체"/>
          <w:b/>
          <w:i w:val="0"/>
          <w:sz w:val="20"/>
        </w:rPr>
        <w:t>2.1.1. 데이터 표현과 정합 적재</w:t>
      </w:r>
    </w:p>
    <w:p>
      <w:pPr>
        <w:spacing w:line="240" w:lineRule="auto" w:before="0" w:after="60"/>
        <w:jc w:val="both"/>
      </w:pPr>
      <w:r>
        <w:rPr>
          <w:rFonts w:ascii="Times New Roman" w:hAnsi="Times New Roman" w:eastAsia="바탕체"/>
          <w:b w:val="0"/>
          <w:i w:val="0"/>
          <w:sz w:val="20"/>
        </w:rPr>
        <w:t>Failbit Map은 Grade 0~7과 chip 경계 등 약 20개의 이산 색상만 쓴다. 24-bit RGB 대신 8-bit palette PNG로 재구성하면 파일 크기가 약 75% 줄고 양자화 손실이 사실상 없으며, 색상 scheme도 PLTE(PNG palette) 청크 교체만으로 반영된다. DRAM은 투입부터 fab-out까지 약 120일이 걸려 장기 보관이 필요하고, palette PNG로도 약 20TB가, 24-bit RGB였다면 약 80TB가 필요하다. wafer 한 장은 약 1천만 픽셀이고 하루 약 2만 매가 유입되므로, raw hex 페이로드는 256-entry lookup과 memoryview stride 접근의 Cython 파서로 복원해 순수 Python 대비 약 100배 빠르게 처리한다. 두 원천(주 fail-map과 chip별 Measure)은 wafer 식별자와 ±10초 오프셋으로 매칭하고, 복원 grade는 FTN/QTN/BIN 등 chip annotation과 병합한다. 이렇게 동일 좌표계로 적재하면 UI overlay, chip crop, Known/Unknown 모델 입력이 같은 자료를 함께 쓴다.</w:t>
      </w:r>
    </w:p>
    <w:p>
      <w:pPr>
        <w:spacing w:line="240" w:lineRule="auto" w:before="100" w:after="40"/>
        <w:jc w:val="left"/>
      </w:pPr>
      <w:r>
        <w:rPr>
          <w:rFonts w:ascii="Times New Roman" w:hAnsi="Times New Roman" w:eastAsia="바탕체"/>
          <w:b/>
          <w:i w:val="0"/>
          <w:sz w:val="20"/>
        </w:rPr>
        <w:t>2.1.2. Known failure 분류 구조</w:t>
      </w:r>
    </w:p>
    <w:p>
      <w:pPr>
        <w:spacing w:line="240" w:lineRule="auto" w:before="0" w:after="60"/>
        <w:jc w:val="both"/>
      </w:pPr>
      <w:r>
        <w:rPr>
          <w:rFonts w:ascii="Times New Roman" w:hAnsi="Times New Roman" w:eastAsia="바탕체"/>
          <w:b/>
          <w:i w:val="0"/>
          <w:sz w:val="20"/>
        </w:rPr>
        <w:t>Backbone 선정.</w:t>
      </w:r>
      <w:r>
        <w:rPr>
          <w:rFonts w:ascii="Times New Roman" w:hAnsi="Times New Roman" w:eastAsia="바탕체"/>
          <w:b w:val="0"/>
          <w:i w:val="0"/>
          <w:sz w:val="20"/>
        </w:rPr>
        <w:t xml:space="preserve"> 16-class closed-set(약 1,500 labeled, 4:1 stratified split)에서 backbone을 비교하였다. 이 규모에서는 전역 self-attention보다 국소 수용장과 계층적 특징 추출을 가진 CNN 계열이 안정적이었고, FCMAE(Fully Convolutional Masked Autoencoder) 사전학습은 국소 공간 패턴 복원과 384 해상도 보존에 적합했다 [5]. MaxViT-T와 ConvNeXtV2-Base가 동일 split에서 같은 수준이었으나, 모델 효율을 기준으로 parameter 약 26%(119.5M→88.6M)와 FLOPs 약 39%(74.2G→45.1G)가 적고 개발 측정에서 chip당 약 26.9 ms인 ConvNeXtV2-Base를 선택했다. flip 증강은 edge 방향의 공정 의미를 손상시키므로 배제했고, Optuna와 LinearLR warmup 뒤 CosineAnnealing으로 튜닝하였다.</w:t>
      </w:r>
    </w:p>
    <w:p>
      <w:pPr>
        <w:spacing w:line="240" w:lineRule="auto" w:before="0" w:after="60"/>
        <w:jc w:val="both"/>
      </w:pPr>
      <w:r>
        <w:rPr>
          <w:rFonts w:ascii="Times New Roman" w:hAnsi="Times New Roman" w:eastAsia="바탕체"/>
          <w:b/>
          <w:i w:val="0"/>
          <w:sz w:val="20"/>
        </w:rPr>
        <w:t>ROI-YOLO 2-stage 보정.</w:t>
      </w:r>
      <w:r>
        <w:rPr>
          <w:rFonts w:ascii="Times New Roman" w:hAnsi="Times New Roman" w:eastAsia="바탕체"/>
          <w:b w:val="0"/>
          <w:i w:val="0"/>
          <w:sz w:val="20"/>
        </w:rPr>
        <w:t xml:space="preserve"> 전역 분류 위에 영역 한정 검출을 부가해 어려운 표본만 재검토하는 cascade는 검출 품질을 높이는 일반 전략이며 [10][12], 여기서는 이를 wafer의 chip 단위 검증에 맞게 구성하였다. CNN 오분류는 형태가 유사하거나 발생 영역이 겹치는 class 쌍에 집중되어, wafer 전역 문맥만으로는 부족한 chip 단위 미세 패턴 검증이 필요했다. 다만 전수 검출은 처리량을 떨어뜨리고 전역 분포 class에는 맞지 않으므로 선택적으로만 적용하였다.</w:t>
      </w:r>
    </w:p>
    <w:p>
      <w:pPr>
        <w:spacing w:line="240" w:lineRule="auto" w:before="0" w:after="60"/>
        <w:jc w:val="both"/>
      </w:pPr>
      <w:r>
        <w:rPr>
          <w:rFonts w:ascii="Times New Roman" w:hAnsi="Times New Roman" w:eastAsia="바탕체"/>
          <w:b w:val="0"/>
          <w:i w:val="0"/>
          <w:sz w:val="20"/>
        </w:rPr>
        <w:t>ROI 보정은 1-stage 예측 confidence가 0.80 미만이거나 예측 class가 difficult class에 속할 때만 적용한다. difficult class는 학습 validation에서 클래스별 precision 또는 recall이 0.80 미만으로 측정돼 미리 등록한 집합이다. 두 조건 모두 추론 시 예측 confidence와 예측 class만으로 판정되어 정답 라벨이 필요 없으며, 둘 다 아닌 wafer는 Stage 2를 건너뛰어 처리량 부담이 없다.</w:t>
      </w:r>
    </w:p>
    <w:p>
      <w:pPr>
        <w:spacing w:line="240" w:lineRule="auto" w:before="0" w:after="60"/>
        <w:jc w:val="both"/>
      </w:pPr>
      <w:r>
        <w:rPr>
          <w:rFonts w:ascii="Times New Roman" w:hAnsi="Times New Roman" w:eastAsia="바탕체"/>
          <w:b w:val="0"/>
          <w:i w:val="0"/>
          <w:sz w:val="20"/>
        </w:rPr>
        <w:t>ROI 위치는 train split에서만 적합한 클래스별 chip 좌표 KDE(Kernel Density Estimation)와 chip-object 개수 GMM(Gaussian Mixture Model)으로 정해 누수를 차단한다. KDE는 class별 불량 chip이 자주 나타나는 wafer 위치를 확률 밀도로 만들고, GMM은 한 wafer 안의 chip-object 개수 분포를 모델링해 ROI 후보 개수와 위치를 제한한다. ROI 영역에 YOLO[9]를 적용해 내부 불량 chip을 검출하고 class 일관성으로 1-stage 예측을 보정한다. ROI 내부 fail 객체는 1~2개라 box 회귀보다 형태 유사 객체의 class 구분이 중요하므로, YOLO를 일관성 검증 역할로 쓰고 classification loss 가중을 강화하였다. ROI 내부 chip은 200×200 px로 확대되어 wafer 전역에서 작던 scratch가 뚜렷해진다.</w:t>
      </w:r>
    </w:p>
    <w:p>
      <w:pPr>
        <w:spacing w:line="240" w:lineRule="auto" w:before="0" w:after="40"/>
        <w:jc w:val="center"/>
      </w:pPr>
      <w:r>
        <w:drawing>
          <wp:inline xmlns:a="http://schemas.openxmlformats.org/drawingml/2006/main" xmlns:pic="http://schemas.openxmlformats.org/drawingml/2006/picture">
            <wp:extent cx="2951999" cy="1129143"/>
            <wp:docPr id="3" name="Picture 3"/>
            <wp:cNvGraphicFramePr>
              <a:graphicFrameLocks noChangeAspect="1"/>
            </wp:cNvGraphicFramePr>
            <a:graphic>
              <a:graphicData uri="http://schemas.openxmlformats.org/drawingml/2006/picture">
                <pic:pic>
                  <pic:nvPicPr>
                    <pic:cNvPr id="0" name="fig03_roi_yolo.png"/>
                    <pic:cNvPicPr/>
                  </pic:nvPicPr>
                  <pic:blipFill>
                    <a:blip r:embed="rId17"/>
                    <a:stretch>
                      <a:fillRect/>
                    </a:stretch>
                  </pic:blipFill>
                  <pic:spPr>
                    <a:xfrm>
                      <a:off x="0" y="0"/>
                      <a:ext cx="2951999" cy="1129143"/>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3. ROI-YOLO 2-stage cascade. Panels show (a) the Failbit Map, (b) the ROI region set by the class prior (blue circle) with YOLO detection boxes inside (red), and (c) the detected chip's scratch detail (confidence 0.91). Failures that look small and scattered globally become distinct under ROI-limited detection and chip-level inspection, while regions outside the ROI are skipped.</w:t>
      </w:r>
    </w:p>
    <w:p>
      <w:pPr>
        <w:spacing w:line="240" w:lineRule="auto" w:before="0" w:after="60"/>
        <w:jc w:val="both"/>
      </w:pPr>
      <w:r>
        <w:rPr>
          <w:rFonts w:ascii="Times New Roman" w:hAnsi="Times New Roman" w:eastAsia="바탕체"/>
          <w:b/>
          <w:i w:val="0"/>
          <w:sz w:val="20"/>
        </w:rPr>
        <w:t>chip-CNN object-id map 인코딩.</w:t>
      </w:r>
      <w:r>
        <w:rPr>
          <w:rFonts w:ascii="Times New Roman" w:hAnsi="Times New Roman" w:eastAsia="바탕체"/>
          <w:b w:val="0"/>
          <w:i w:val="0"/>
          <w:sz w:val="20"/>
        </w:rPr>
        <w:t xml:space="preserve"> ROI-YOLO 2-stage는 검증된 양산 경로이나 wafer 전역에서 box를 회귀하는 detector 추론 비용이 크고 클래스를 늘릴수록 검출 난도가 오른다. 이를 줄이려고 Stage 2를 chip-CNN 기반 object-id map으로 진화시키는 후속 모듈을 설계하였다(생성 데이터셋 기준 개발 중). wafer를 chip 격자(제품마다 다르며 본 제품군은 약 1,024개, 각 200×200 px)로 나누고, 생성 단계에서 확보한 chip 좌표로 고정 crop을 만들어 작은 chip-CNN으로 각 chip을 5-class로 분류한 뒤 그 id를 같은 격자에 되돌린다. 결과 격자의 색 패턴이 wafer 클래스의 지문이 되어 box 검출 없이 형태와 위치를 동시에 유지한다(Figure 4).</w:t>
      </w:r>
    </w:p>
    <w:p>
      <w:pPr>
        <w:spacing w:line="240" w:lineRule="auto" w:before="0" w:after="40"/>
        <w:jc w:val="center"/>
      </w:pPr>
      <w:r>
        <w:drawing>
          <wp:inline xmlns:a="http://schemas.openxmlformats.org/drawingml/2006/main" xmlns:pic="http://schemas.openxmlformats.org/drawingml/2006/picture">
            <wp:extent cx="2951999" cy="1734299"/>
            <wp:docPr id="4" name="Picture 4"/>
            <wp:cNvGraphicFramePr>
              <a:graphicFrameLocks noChangeAspect="1"/>
            </wp:cNvGraphicFramePr>
            <a:graphic>
              <a:graphicData uri="http://schemas.openxmlformats.org/drawingml/2006/picture">
                <pic:pic>
                  <pic:nvPicPr>
                    <pic:cNvPr id="0" name="fig04_objid_flow.png"/>
                    <pic:cNvPicPr/>
                  </pic:nvPicPr>
                  <pic:blipFill>
                    <a:blip r:embed="rId18"/>
                    <a:stretch>
                      <a:fillRect/>
                    </a:stretch>
                  </pic:blipFill>
                  <pic:spPr>
                    <a:xfrm>
                      <a:off x="0" y="0"/>
                      <a:ext cx="2951999" cy="17342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4. chip-CNN object-id map generation. The wafer is partitioned into a chip grid using precomputed chip coordinates, and each chip is classified into 5 classes by the chip-CNN and its id is placed back at its grid position. The resulting color pattern acts as a fingerprint that discriminates the wafer class. [Generated data, under development]</w:t>
      </w:r>
    </w:p>
    <w:p>
      <w:pPr>
        <w:spacing w:line="240" w:lineRule="auto" w:before="0" w:after="60"/>
        <w:jc w:val="both"/>
      </w:pPr>
      <w:r>
        <w:rPr>
          <w:rFonts w:ascii="Times New Roman" w:hAnsi="Times New Roman" w:eastAsia="바탕체"/>
          <w:b w:val="0"/>
          <w:i w:val="0"/>
          <w:sz w:val="20"/>
        </w:rPr>
        <w:t>ROI-YOLO와 object-id map의 Stage-2 구조와 연산 효율을 Table 2에 비교하였다. ROI-YOLO는 ROI 추출, box 회귀, NMS를 수행하며 512px 이상 입력을 요구한다(공개 detector YOLO11x 기준 56.9M params·194.9 GFLOPs@640 [22]; ROI 한정 crop의 실제 연산은 이보다 작다). object-id map은 chip 좌표로 확정된 32×32 격자를 1.16M chip-CNN에 입력하며, 아키텍처 산출 연산량은 약 0.31 GFLOPs다.</w:t>
      </w:r>
      <w:r>
        <w:rPr>
          <w:rFonts w:ascii="Times New Roman" w:hAnsi="Times New Roman" w:eastAsia="바탕체"/>
          <w:b w:val="0"/>
          <w:i w:val="0"/>
          <w:sz w:val="20"/>
          <w:vertAlign w:val="superscript"/>
        </w:rPr>
        <w:t>1</w:t>
      </w:r>
      <w:r>
        <w:rPr>
          <w:rFonts w:ascii="Times New Roman" w:hAnsi="Times New Roman" w:eastAsia="바탕체"/>
          <w:b w:val="0"/>
          <w:i w:val="0"/>
          <w:sz w:val="20"/>
        </w:rPr>
        <w:t xml:space="preserve"> 입력 스케일(32×32 vs 640)이 다르므로 이는 같은 조건의 속도 비교가 아니라 좌표 보존 표현이 입력 자체를 chip 격자로 줄인 결과로 보았다. 정확도도 생성 평가셋 기준 val 0.9946 / test 0.9872로, ROI-YOLO field weighted F1 0.95와 직접 비교하지 않았다.</w:t>
      </w:r>
    </w:p>
    <w:p>
      <w:pPr>
        <w:spacing w:line="240" w:lineRule="auto" w:before="0" w:after="60"/>
        <w:jc w:val="both"/>
      </w:pPr>
      <w:r>
        <w:rPr>
          <w:rFonts w:ascii="Times New Roman" w:hAnsi="Times New Roman" w:eastAsia="바탕체"/>
          <w:b w:val="0"/>
          <w:i w:val="0"/>
          <w:sz w:val="20"/>
        </w:rPr>
        <w:t>ROI-YOLO는 원래 위치를 모르는 물체를 찾는 detector다. 그래서 후보 box를 찾고, box를 보정하고, NMS로 중복 후보를 지운다. 하지만 wafer의 chip 위치는 제품 layout으로 이미 정해져 있고, 데이터 생성 단계에서 chip 좌표도 확보된다. 이 점을 쓰면 Stage 2를 detection 문제가 아니라 chip별 fixed-crop classification 문제로 바꿀 수 있다. 각 chip을 한 번 잘라 class를 예측하고, 그 결과를 다시 wafer grid에 놓으면 object-id map이 된다. full wafer image에서는 작은 chip failure가 희석되지만, chip crop에서는 local morphology가 직접 보인다. 따라서 object-id map의 이득은 작은 모델이 큰 detector를 이겼다는 뜻이 아니라, 반도체 layout 정보를 모델 입력에 맞게 쓴 결과로 해석한다.</w:t>
      </w:r>
    </w:p>
    <w:p>
      <w:pPr>
        <w:keepNext/>
        <w:spacing w:line="240" w:lineRule="auto" w:before="0" w:after="40"/>
        <w:jc w:val="left"/>
      </w:pPr>
      <w:r>
        <w:rPr>
          <w:rFonts w:ascii="Times New Roman" w:hAnsi="Times New Roman" w:eastAsia="바탕체"/>
          <w:b w:val="0"/>
          <w:i w:val="0"/>
          <w:sz w:val="18"/>
        </w:rPr>
        <w:t>Table 2. Stage-2 chip evidence - ROI-YOLO detector vs chip-CNN object-id map. Public detector spec (640-input upper bound; ROI-limited use is smaller) for reference; the object-id classifier FLOPs is analytically computed from the 32×32-grid architecture, and because the input scales differ, this is not a same-scale speed comparison but evidence that coordinate-preserving representation shrinks the input into a chip grid; accuracy is validated on different scopes (field vs generated). [object-id map: generated-data development]</w:t>
      </w:r>
    </w:p>
    <w:tbl>
      <w:tblPr>
        <w:tblW w:type="auto" w:w="0"/>
        <w:jc w:val="center"/>
        <w:tblLayout w:type="fixed"/>
        <w:tblLook w:firstColumn="1" w:firstRow="1" w:lastColumn="0" w:lastRow="0" w:noHBand="0" w:noVBand="1" w:val="04A0"/>
      </w:tblPr>
      <w:tblGrid>
        <w:gridCol w:w="1219"/>
        <w:gridCol w:w="1219"/>
        <w:gridCol w:w="1219"/>
        <w:gridCol w:w="1219"/>
      </w:tblGrid>
      <w:tr>
        <w:trPr>
          <w:cantSplit/>
        </w:trPr>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Stage-2 structure</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Params</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FLOPs (G)</w:t>
            </w:r>
          </w:p>
        </w:tc>
        <w:tc>
          <w:tcPr>
            <w:tcW w:type="dxa" w:w="1219"/>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Input res.</w:t>
            </w:r>
          </w:p>
        </w:tc>
      </w:tr>
      <w:tr>
        <w:trPr>
          <w:cantSplit/>
        </w:trPr>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ROI-YOLO detector (YOLO11x, public [22])</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56.9M</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194.9</w:t>
            </w:r>
          </w:p>
        </w:tc>
        <w:tc>
          <w:tcPr>
            <w:tcW w:type="dxa" w:w="1219"/>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640 px</w:t>
            </w:r>
          </w:p>
        </w:tc>
      </w:tr>
      <w:tr>
        <w:trPr>
          <w:cantSplit/>
        </w:trPr>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chip-CNN object-id map (ours)</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1.16M</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0.31</w:t>
            </w:r>
          </w:p>
        </w:tc>
        <w:tc>
          <w:tcPr>
            <w:tcW w:type="dxa" w:w="1219"/>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32×32 grid</w:t>
            </w:r>
          </w:p>
        </w:tc>
      </w:tr>
    </w:tbl>
    <w:p/>
    <w:p>
      <w:pPr>
        <w:spacing w:line="240" w:lineRule="auto" w:before="0" w:after="60"/>
        <w:jc w:val="both"/>
      </w:pPr>
      <w:r>
        <w:rPr>
          <w:rFonts w:ascii="Times New Roman" w:hAnsi="Times New Roman" w:eastAsia="바탕체"/>
          <w:b w:val="0"/>
          <w:i w:val="0"/>
          <w:sz w:val="20"/>
        </w:rPr>
        <w:t>이 구조에서 가장 조심한 부분은 categorical 신호를 깨뜨리지 않는 것이었다. 정수 object-id를 BICUBIC으로 보간하면 1.3, 2.7 같은 무의미한 실수가 생겨 신호가 손상되므로, 격자 해상도는 obj-id의 자연 해상도(제품별 chip 격자 수)로 유지했다. one-hot이 categorical 입력에 적합하다는 원칙 [11]에 따라 obj-id를 5채널 one-hot으로 인코딩하고(R/G/B 픽셀값 제외) 정수 block-expand만 적용해 BICUBIC 대비 복원 오차가 약 75% 줄었다(이 75%는 복원 오차로, palette 재구성의 파일 크기 약 75% 절감과는 별개 측정값이다). 이 표현은 정수 압축의 ordinal 오류와 단일 class 이진 표시의 정보 손실을 모두 피하며, R을 뺀 단독(in_ch=5)을 채택해 정확도와 입출력 비용을 함께 줄였다(정량 비교 2.2.1).</w:t>
      </w:r>
    </w:p>
    <w:p>
      <w:pPr>
        <w:spacing w:line="240" w:lineRule="auto" w:before="100" w:after="40"/>
        <w:jc w:val="left"/>
      </w:pPr>
      <w:r>
        <w:rPr>
          <w:rFonts w:ascii="Times New Roman" w:hAnsi="Times New Roman" w:eastAsia="바탕체"/>
          <w:b/>
          <w:i w:val="0"/>
          <w:sz w:val="20"/>
        </w:rPr>
        <w:t>2.1.3. Unknown failure 군집화 구조</w:t>
      </w:r>
    </w:p>
    <w:p>
      <w:pPr>
        <w:spacing w:line="240" w:lineRule="auto" w:before="0" w:after="60"/>
        <w:jc w:val="both"/>
      </w:pPr>
      <w:r>
        <w:rPr>
          <w:rFonts w:ascii="Times New Roman" w:hAnsi="Times New Roman" w:eastAsia="바탕체"/>
          <w:b w:val="0"/>
          <w:i w:val="0"/>
          <w:sz w:val="20"/>
        </w:rPr>
        <w:t>운영에는 기존 16-class에 없는 신규 불량이 드물게 나타나며 정답 라벨이 거의 없다. 지도 대조학습(SupCon[3])은 known manifold만 첨예해져 새 패턴을 기존 class로 흡수할 위험이 있어, 라벨에 종속되지 않는 자기지도 InfoNCE를 채택하였다. global 항은 같은 wafer의 두 증강본을 당기고 다른 wafer를 밀며, local 항은 6×6 structured grid의 대응 patch를 정렬해 random crop류가 위치 의미를 훼손하는 문제를 피한다. 작은 batch의 negative 부족은 MoCo(Momentum Contrast)[8] queue(4096)로 보완하고, 유사도 임계(0.72)로 false-negative를 줄였다. 증강은 flip을 배제하고 소규모 회전(±7°), 이동, 스케일(±5%), 가우시안 노이즈(σ=0.02)만 적용하였다.</w:t>
      </w:r>
    </w:p>
    <w:p>
      <w:pPr>
        <w:spacing w:line="240" w:lineRule="auto" w:before="0" w:after="60"/>
        <w:jc w:val="both"/>
      </w:pPr>
      <w:r>
        <w:rPr>
          <w:rFonts w:ascii="Times New Roman" w:hAnsi="Times New Roman" w:eastAsia="바탕체"/>
          <w:b w:val="0"/>
          <w:i w:val="0"/>
          <w:sz w:val="20"/>
        </w:rPr>
        <w:t>학습 임베딩은 HDBSCAN(1.1)으로 군집화한다. 운영 구성은 queue를 16K로 키운 Global/Local InfoNCE를 쓰고, noise wafer는 최근접 이웃 투표가 임계를 넘을 때만 흡수한다. 불량 누락을 false alarm보다 위험하게 보아 capture를 우선하며, 담당자는 각 군집의 medoid만 검토해 신규 불량이면 라벨링 후 spec에 추가한다.</w:t>
      </w:r>
    </w:p>
    <w:p>
      <w:pPr>
        <w:spacing w:line="240" w:lineRule="auto" w:before="100" w:after="40"/>
        <w:jc w:val="left"/>
      </w:pPr>
      <w:r>
        <w:rPr>
          <w:rFonts w:ascii="Times New Roman" w:hAnsi="Times New Roman" w:eastAsia="바탕체"/>
          <w:b/>
          <w:i w:val="0"/>
          <w:sz w:val="20"/>
        </w:rPr>
        <w:t>2.1.4. chip 수준 multi-label 분류 구조</w:t>
      </w:r>
    </w:p>
    <w:p>
      <w:pPr>
        <w:spacing w:line="240" w:lineRule="auto" w:before="0" w:after="60"/>
        <w:jc w:val="both"/>
      </w:pPr>
      <w:r>
        <w:rPr>
          <w:rFonts w:ascii="Times New Roman" w:hAnsi="Times New Roman" w:eastAsia="바탕체"/>
          <w:b w:val="0"/>
          <w:i w:val="0"/>
          <w:sz w:val="20"/>
        </w:rPr>
        <w:t>wafer-level FBM 경로가 전역 반복 패턴을 다룬다면, chip-level 경로는 한 chip 안에서 여러 불량 신호가 같이 나타나는 상황을 다룬다. 실제 EDS 수치 기반 자동판정은 주로 single failure를 기준으로 설계되어 있어, 2-combo failure에서는 한쪽 신호가 다른 신호에 가려 false negative가 생기기 쉽다. 따라서 chip 라벨을 softmax처럼 하나만 고르는 문제가 아니라, 4개 불량 bit가 동시에 켜질 수 있는 multi-label 문제로 정의하였다. 어려운 점은 실제 2-combo 정답 라벨이 충분하지 않다는 점이다.</w:t>
      </w:r>
    </w:p>
    <w:p>
      <w:pPr>
        <w:spacing w:line="240" w:lineRule="auto" w:before="0" w:after="60"/>
        <w:jc w:val="both"/>
      </w:pPr>
      <w:r>
        <w:rPr>
          <w:rFonts w:ascii="Times New Roman" w:hAnsi="Times New Roman" w:eastAsia="바탕체"/>
          <w:b w:val="0"/>
          <w:i w:val="0"/>
          <w:sz w:val="20"/>
        </w:rPr>
        <w:t>원천 데이터는 현업 EDS Failbit Map에서 얻은 single failure 4종(bank_boundary, fork, scratch, scratch_rot) chip이다. 평가셋은 single 4종, 2-combo 6종, Normal, Invalid, OOD(out-of-distribution) chip으로 구성하였다. OOD는 등록 불량 profile에는 없지만 운영 중 같이 유입될 수 있는 외곽 분포 chip으로, false alarm 억제를 확인하기 위한 negative다. 데이터 누수를 막기 위해 single 원천 chip을 먼저 train/test로 나누고, 학습 합성은 train 원천만, 평가 표본은 test 원천만 사용하였다. 학습용 2-combo는 online CutMix로 매 step 생성하고, 평가용 2-combo는 offline min-blend로 고정 생성해 두 경로를 나누었다. backbone은 ConvNeXtV2(FCMAE 사전학습)를 chip 이미지에 맞게 재학습했고, head는 클래스별 독립 sigmoid 확률을 출력한다.</w:t>
      </w:r>
    </w:p>
    <w:p>
      <w:pPr>
        <w:spacing w:line="240" w:lineRule="auto" w:before="0" w:after="40"/>
        <w:jc w:val="center"/>
      </w:pPr>
      <w:r>
        <w:drawing>
          <wp:inline xmlns:a="http://schemas.openxmlformats.org/drawingml/2006/main" xmlns:pic="http://schemas.openxmlformats.org/drawingml/2006/picture">
            <wp:extent cx="2951999" cy="1580688"/>
            <wp:docPr id="5" name="Picture 5"/>
            <wp:cNvGraphicFramePr>
              <a:graphicFrameLocks noChangeAspect="1"/>
            </wp:cNvGraphicFramePr>
            <a:graphic>
              <a:graphicData uri="http://schemas.openxmlformats.org/drawingml/2006/picture">
                <pic:pic>
                  <pic:nvPicPr>
                    <pic:cNvPr id="0" name="fig05_chip_label_space.png"/>
                    <pic:cNvPicPr/>
                  </pic:nvPicPr>
                  <pic:blipFill>
                    <a:blip r:embed="rId19"/>
                    <a:stretch>
                      <a:fillRect/>
                    </a:stretch>
                  </pic:blipFill>
                  <pic:spPr>
                    <a:xfrm>
                      <a:off x="0" y="0"/>
                      <a:ext cx="2951999" cy="1580688"/>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5. Label space of chip-level multi-label classification. Top row: four single failures with distinct shapes (bank_boundary, fork, scratch, scratch_rot). Bottom row: a 2-combo (fork+scratch) and the negative samples that co-arrive in operation (Normal, Invalid, OOD/Starburst). [Field chip source + domain synthesis]</w:t>
      </w:r>
    </w:p>
    <w:p>
      <w:pPr>
        <w:spacing w:line="240" w:lineRule="auto" w:before="0" w:after="60"/>
        <w:jc w:val="both"/>
      </w:pPr>
      <w:r>
        <w:rPr>
          <w:rFonts w:ascii="Times New Roman" w:hAnsi="Times New Roman" w:eastAsia="바탕체"/>
          <w:b w:val="0"/>
          <w:i w:val="0"/>
          <w:sz w:val="20"/>
        </w:rPr>
        <w:t>2-combo 라벨 부족은 augmentation 설계로 보완하였다. Grade 0~7로 양자화된 chip에서 Mixup은 존재하지 않는 중간 Grade를 만들 수 있고, Diffusion은 실제 2-combo 라벨 부족과 연산 부담이 동시에 남는다. 그래서 원래 Grade 값을 영역 단위로 보존하는 CutMix[14] 계열을 선택하였다. 다만 random rectangle CutMix만 쓰면 불량 영역이 잘리거나, 합성 후 남는 background가 false-positive 신호로 학습될 수 있다.</w:t>
      </w:r>
    </w:p>
    <w:p>
      <w:pPr>
        <w:spacing w:line="240" w:lineRule="auto" w:before="0" w:after="60"/>
        <w:jc w:val="both"/>
      </w:pPr>
      <w:r>
        <w:rPr>
          <w:rFonts w:ascii="Times New Roman" w:hAnsi="Times New Roman" w:eastAsia="바탕체"/>
          <w:b w:val="0"/>
          <w:i w:val="0"/>
          <w:sz w:val="20"/>
        </w:rPr>
        <w:t>2-combo chip label을 실제로 충분히 모으기는 어렵다. 그래서 single-failure chip source를 그대로 활용해 두 failure가 함께 있는 상황을 만들었다. FCM-PM은 두 single-failure chip을 full-cover 방식으로 합쳐 A+B mixed chip을 만들고, 동시에 A-only와 B-only masked view를 함께 학습한다(Figure 6). mixed view는 두 failure가 함께 있을 때의 positive signal을 주고, masked view는 합성 과정에서 생긴 background가 false-positive signal로 학습되는 것을 막는다. 이 때문에 FCM-PM은 단순한 augmentation이 아니라, weak positive를 보강하면서 negative tail을 제어하는 학습 구조로 해석된다. false alarm rate(FAR)는 negative 중 오검출 비율(FP_neg/N_neg)로 계산하고, checkpoint는 validation에서 val_margin = mean(p_pos) - max(p_neg)이 가장 큰 epoch로 선택한다.</w:t>
      </w:r>
    </w:p>
    <w:p>
      <w:pPr>
        <w:spacing w:line="240" w:lineRule="auto" w:before="0" w:after="60"/>
        <w:jc w:val="both"/>
      </w:pPr>
      <w:r>
        <w:rPr>
          <w:rFonts w:ascii="Times New Roman" w:hAnsi="Times New Roman" w:eastAsia="바탕체"/>
          <w:b w:val="0"/>
          <w:i w:val="0"/>
          <w:sz w:val="20"/>
        </w:rPr>
        <w:t>처음에는 loss만 바꾸는 방식으로는 충분하지 않았다. Focal과 ASL[16]은 일부 positive를 살렸지만, negative tail을 안정적으로 누르지 못했다. 특히 single-only 학습에서는 2-combo의 두 번째 bit가 약하게 남아 평균 0.42 수준까지 내려갔다. FCM은 두 single source를 chip 전체 영역에서 섞어 이 weak positive를 약 0.54까지 끌어올렸다. 반대로 Pair Mask는 합성 과정에서 생긴 background가 불량 신호로 학습되는 것을 막았다. 그 뒤에는 val_margin으로 positive와 negative 간격이 가장 넓은 checkpoint를 고르고(Figure 7a), Gaussian Naive Bayes reject로 4-bit probability shape가 등록 profile과 맞지 않는 OOD tail을 걸렀다(Figure 7b). bit 다수결 ensemble과 Knowledge Distillation(KD)[17] student는 각각 upper-bound와 추가 경량화 후보로 두었다.</w:t>
      </w:r>
    </w:p>
    <w:p>
      <w:pPr>
        <w:spacing w:line="240" w:lineRule="auto" w:before="0" w:after="40"/>
        <w:jc w:val="center"/>
      </w:pPr>
      <w:r>
        <w:drawing>
          <wp:inline xmlns:a="http://schemas.openxmlformats.org/drawingml/2006/main" xmlns:pic="http://schemas.openxmlformats.org/drawingml/2006/picture">
            <wp:extent cx="2951999" cy="3411199"/>
            <wp:docPr id="6" name="Picture 6"/>
            <wp:cNvGraphicFramePr>
              <a:graphicFrameLocks noChangeAspect="1"/>
            </wp:cNvGraphicFramePr>
            <a:graphic>
              <a:graphicData uri="http://schemas.openxmlformats.org/drawingml/2006/picture">
                <pic:pic>
                  <pic:nvPicPr>
                    <pic:cNvPr id="0" name="fig06_fcm_pm.png"/>
                    <pic:cNvPicPr/>
                  </pic:nvPicPr>
                  <pic:blipFill>
                    <a:blip r:embed="rId20"/>
                    <a:stretch>
                      <a:fillRect/>
                    </a:stretch>
                  </pic:blipFill>
                  <pic:spPr>
                    <a:xfrm>
                      <a:off x="0" y="0"/>
                      <a:ext cx="2951999" cy="34111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6. FCM-PM augmentation for chip multi-label learning. Full-Cover CutMix makes an A+B mixed chip, while Pair Mask trains A-only/B-only views to suppress synthetic-background false positives. [Field chip source + domain synthesis]</w:t>
      </w:r>
    </w:p>
    <w:p>
      <w:pPr>
        <w:spacing w:line="240" w:lineRule="auto" w:before="0" w:after="40"/>
        <w:jc w:val="center"/>
      </w:pPr>
      <w:r>
        <w:drawing>
          <wp:inline xmlns:a="http://schemas.openxmlformats.org/drawingml/2006/main" xmlns:pic="http://schemas.openxmlformats.org/drawingml/2006/picture">
            <wp:extent cx="2951999" cy="3870399"/>
            <wp:docPr id="7" name="Picture 7"/>
            <wp:cNvGraphicFramePr>
              <a:graphicFrameLocks noChangeAspect="1"/>
            </wp:cNvGraphicFramePr>
            <a:graphic>
              <a:graphicData uri="http://schemas.openxmlformats.org/drawingml/2006/picture">
                <pic:pic>
                  <pic:nvPicPr>
                    <pic:cNvPr id="0" name="fig07_probability_control.png"/>
                    <pic:cNvPicPr/>
                  </pic:nvPicPr>
                  <pic:blipFill>
                    <a:blip r:embed="rId21"/>
                    <a:stretch>
                      <a:fillRect/>
                    </a:stretch>
                  </pic:blipFill>
                  <pic:spPr>
                    <a:xfrm>
                      <a:off x="0" y="0"/>
                      <a:ext cx="2951999" cy="38703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7. Probability control in chip multi-label learning. (a) val_margin selects the checkpoint with wider positive/negative separation and lower FAR in the development sweep. (b) NB-reject scores the whole 4-bit probability shape rather than only the maximum bit, accepting a registered profile and rejecting an OOD-shaped vector. [Field chip source + domain synthesis]</w:t>
      </w:r>
    </w:p>
    <w:p>
      <w:pPr>
        <w:spacing w:line="240" w:lineRule="auto" w:before="100" w:after="40"/>
        <w:jc w:val="left"/>
      </w:pPr>
      <w:r>
        <w:rPr>
          <w:rFonts w:ascii="Times New Roman" w:hAnsi="Times New Roman" w:eastAsia="바탕체"/>
          <w:b/>
          <w:i w:val="0"/>
          <w:sz w:val="20"/>
        </w:rPr>
        <w:t>2.1.5. 분석 UI와 web app 구조</w:t>
      </w:r>
    </w:p>
    <w:p>
      <w:pPr>
        <w:spacing w:line="240" w:lineRule="auto" w:before="0" w:after="60"/>
        <w:jc w:val="both"/>
      </w:pPr>
      <w:r>
        <w:rPr>
          <w:rFonts w:ascii="Times New Roman" w:hAnsi="Times New Roman" w:eastAsia="바탕체"/>
          <w:b w:val="0"/>
          <w:i w:val="0"/>
          <w:sz w:val="20"/>
        </w:rPr>
        <w:t>담당자가 보는 화면에서는 위 경로가 하나로 모인다. 뷰어는 피라미드 타일과 디스크 캐시로 약 1천만 픽셀 map의 zoom/pan을 가속하고, chip overlay 기반 BIN/FTN/QTN 시각화와 composite map으로 패턴 분류 결과 위에 계측값을 겹쳐 보여 준다. 검토 결과는 불량 등록과 학습 레이블로 돌아가며, 데이터 적재부터 재학습까지 같은 흐름 안에 남는다.</w:t>
      </w:r>
    </w:p>
    <w:p>
      <w:pPr>
        <w:spacing w:line="240" w:lineRule="auto" w:before="100" w:after="40"/>
        <w:jc w:val="left"/>
      </w:pPr>
      <w:r>
        <w:rPr>
          <w:rFonts w:ascii="Times New Roman" w:hAnsi="Times New Roman" w:eastAsia="바탕체"/>
          <w:b/>
          <w:i w:val="0"/>
          <w:sz w:val="20"/>
        </w:rPr>
        <w:t>2.2. 결과</w:t>
      </w:r>
    </w:p>
    <w:p>
      <w:pPr>
        <w:spacing w:line="240" w:lineRule="auto" w:before="0" w:after="60"/>
        <w:jc w:val="both"/>
      </w:pPr>
      <w:r>
        <w:rPr>
          <w:rFonts w:ascii="Times New Roman" w:hAnsi="Times New Roman" w:eastAsia="바탕체"/>
          <w:b w:val="0"/>
          <w:i w:val="0"/>
          <w:sz w:val="20"/>
        </w:rPr>
        <w:t>결과에 앞서 각 수치의 산출 범위를 먼저 밝힌다. Known F1은 field validation 값이고, Unknown 13→7은 검토 대상 group을 13개로 정리한 field review 결과다. object-id map은 생성 데이터 기준 후속 개발값이며, FCM-PM은 통제된 합성 평가값이다. viewer/data pipeline의 운영 효과도 모델 성능 수치와 성격이 다르다. 그래서 Table 3에 각 수치의 출처를 먼저 표시하고, 운영 효과와 모델 성능을 한 점수처럼 더하지 않았다.</w:t>
      </w:r>
    </w:p>
    <w:p>
      <w:pPr>
        <w:keepNext/>
        <w:spacing w:line="240" w:lineRule="auto" w:before="0" w:after="40"/>
        <w:jc w:val="left"/>
      </w:pPr>
      <w:r>
        <w:rPr>
          <w:rFonts w:ascii="Times New Roman" w:hAnsi="Times New Roman" w:eastAsia="바탕체"/>
          <w:b w:val="0"/>
          <w:i w:val="0"/>
          <w:sz w:val="18"/>
        </w:rPr>
        <w:t>Table 3. Validation scope of reported results.</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Result</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Anchor value</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Validation scope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Known classification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weighted F1 0.95</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validation</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 13→7</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13 groups -&gt; 7 confirmed</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Field review, not classifier metric</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object-id map</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val 0.9946 / hold-out 0.9872</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Generated dev., not deployed</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FCM-PM chip multi-label</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bit-F1 0.9927 · FAR 0.00%</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Controlled synthetic</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FBM generation · storage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Cython hex-to-grade 약 100× · palette PNG 약 75% · 20TB/120 d</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 measurement</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Operational impact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~123억 quantified</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Internally certified quantified contribution</w:t>
            </w:r>
          </w:p>
        </w:tc>
      </w:tr>
    </w:tbl>
    <w:p/>
    <w:p>
      <w:pPr>
        <w:spacing w:line="240" w:lineRule="auto" w:before="100" w:after="40"/>
        <w:jc w:val="left"/>
      </w:pPr>
      <w:r>
        <w:rPr>
          <w:rFonts w:ascii="Times New Roman" w:hAnsi="Times New Roman" w:eastAsia="바탕체"/>
          <w:b/>
          <w:i w:val="0"/>
          <w:sz w:val="20"/>
        </w:rPr>
        <w:t>2.2.1. Known 결과</w:t>
      </w:r>
    </w:p>
    <w:p>
      <w:pPr>
        <w:spacing w:line="240" w:lineRule="auto" w:before="0" w:after="60"/>
        <w:jc w:val="both"/>
      </w:pPr>
      <w:r>
        <w:rPr>
          <w:rFonts w:ascii="Times New Roman" w:hAnsi="Times New Roman" w:eastAsia="바탕체"/>
          <w:b w:val="0"/>
          <w:i w:val="0"/>
          <w:sz w:val="20"/>
        </w:rPr>
        <w:t>Known failure 분류는 단계별로 성능을 분리해 관리하였다. 먼저 16-class closed-set(약 1,500 labeled, 4:1 stratified split)에서 backbone을 비교하였다(Table 4). MaxViT-T와 ConvNeXtV2-Base가 weighted F1 0.87로 같았으나 동일 split 단일 run이라 모델 효율을 기준으로 ConvNeXtV2-Base를 택했고, 단독 0.87에서 Optuna 탐색으로 validation weighted F1 0.92에 이르렀다.</w:t>
      </w:r>
    </w:p>
    <w:p>
      <w:pPr>
        <w:keepNext/>
        <w:spacing w:line="240" w:lineRule="auto" w:before="0" w:after="40"/>
        <w:jc w:val="left"/>
      </w:pPr>
      <w:r>
        <w:rPr>
          <w:rFonts w:ascii="Times New Roman" w:hAnsi="Times New Roman" w:eastAsia="바탕체"/>
          <w:b w:val="0"/>
          <w:i w:val="0"/>
          <w:sz w:val="18"/>
        </w:rPr>
        <w:t>Table 4. Backbone selection and stage-wise Known classification (same split, validation weighted F1, single run). [Field-validated]</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구성</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Params</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 weighted F1</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baseline CNN</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0.78</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ViT-B/16</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0.81</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Swin-B</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0.84</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EffNetV2-M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54M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0.85</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MaxViT-T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119.5M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ConvNeXtV2-Base (선정)</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Optuna (1-stage)</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88.6M</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 selective ROI-YOLO (채택, 2-stage)</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w:t>
            </w:r>
          </w:p>
        </w:tc>
      </w:tr>
    </w:tbl>
    <w:p/>
    <w:p>
      <w:pPr>
        <w:spacing w:line="240" w:lineRule="auto" w:before="0" w:after="60"/>
        <w:jc w:val="both"/>
      </w:pPr>
      <w:r>
        <w:rPr>
          <w:rFonts w:ascii="Times New Roman" w:hAnsi="Times New Roman" w:eastAsia="바탕체"/>
          <w:b w:val="0"/>
          <w:i w:val="0"/>
          <w:sz w:val="20"/>
        </w:rPr>
        <w:t>ROI-YOLO를 일관성 검증 역할로 쓰고 classification loss 가중을 강화하자 보정 precision과 최종 weighted F1이 향상되어 최종 0.95에 도달하였다(Table 4). 사내 실전 데이터로 검증을 마친 최종 채택값은 2-stage 0.95뿐이며, 앞 세 값(0.78, 0.87, 0.92)은 1-stage(또는 이전) 단계값이다.</w:t>
      </w:r>
    </w:p>
    <w:p>
      <w:pPr>
        <w:spacing w:line="240" w:lineRule="auto" w:before="0" w:after="60"/>
        <w:jc w:val="both"/>
      </w:pPr>
      <w:r>
        <w:rPr>
          <w:rFonts w:ascii="Times New Roman" w:hAnsi="Times New Roman" w:eastAsia="바탕체"/>
          <w:b w:val="0"/>
          <w:i w:val="0"/>
          <w:sz w:val="20"/>
        </w:rPr>
        <w:t>object-id map 인코딩(2.1.2)은 두 반례를 확인한 뒤 채택하였다(Table 5). raw grade만 쓴 구성은 0.4359에 머물렀고, obj-id를 정수 1채널로 압축하면 0.9505까지 올랐다. 그러나 정수 인코딩은 class id에 1&lt;2&lt;3 같은 존재하지 않는 순서를 부여한다. 한 class만 이진으로 표시한 구성(0.6543)은 해당 class 외의 신호를 잃었다. 이 두 문제를 피하기 위해 one-hot 5채널을 사용하였다. R과 함께 쓰면(in_ch=6) 0.9689, R 없이 단독으로 쓰면(in_ch=5, 채택) 0.9946이었다. 이는 obj-id 채널이 주요 신호이고, raw grade 채널은 채택 구성에서는 중복 정보로 작용했음을 뜻한다.</w:t>
      </w:r>
    </w:p>
    <w:p>
      <w:pPr>
        <w:keepNext/>
        <w:spacing w:line="240" w:lineRule="auto" w:before="0" w:after="40"/>
        <w:jc w:val="left"/>
      </w:pPr>
      <w:r>
        <w:rPr>
          <w:rFonts w:ascii="Times New Roman" w:hAnsi="Times New Roman" w:eastAsia="바탕체"/>
          <w:b w:val="0"/>
          <w:i w:val="0"/>
          <w:sz w:val="18"/>
        </w:rPr>
        <w:t>Table 5. Input-encoding ablation for the object-id map (validation/hold-out F1-score; the adopted in_ch=5 reports the best seed). [Generated data, under development]</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입력 구성</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표현</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Val / Hold-out</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grade only</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grade map</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0.4359 / 0.4385</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Integer-compressed id</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obj-id 정수 1채널</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0.9505 / 0.9726</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Binary single-class</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단일 obj 이진 1채널</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0.6543 / -</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 identity (in_ch=6)</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raw + obj-id one-hot</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0.9689 / 0.9879</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Object identity only (in_ch=5, 채택)</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obj-id one-hot</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0.9946 / 0.9872</w:t>
            </w:r>
          </w:p>
        </w:tc>
      </w:tr>
    </w:tbl>
    <w:p/>
    <w:p>
      <w:pPr>
        <w:spacing w:line="240" w:lineRule="auto" w:before="0" w:after="60"/>
        <w:jc w:val="both"/>
      </w:pPr>
      <w:r>
        <w:rPr>
          <w:rFonts w:ascii="Times New Roman" w:hAnsi="Times New Roman" w:eastAsia="바탕체"/>
          <w:b w:val="0"/>
          <w:i w:val="0"/>
          <w:sz w:val="20"/>
        </w:rPr>
        <w:t>채택 구성은 raw grade를 뺀 obj-id one-hot 단독(in_ch=5)이다. 동일 chip-원천 split에서 seed 5회 반복했을 때 validation 0.9905±0.0045 / hold-out 0.9831±0.0050이었고, 최고 seed에서는 validation 0.9946 / hold-out 0.9872였다(n=220/cls; anchor).</w:t>
      </w:r>
      <w:r>
        <w:rPr>
          <w:rFonts w:ascii="Times New Roman" w:hAnsi="Times New Roman" w:eastAsia="바탕체"/>
          <w:b w:val="0"/>
          <w:i w:val="0"/>
          <w:sz w:val="20"/>
          <w:vertAlign w:val="superscript"/>
        </w:rPr>
        <w:t>2</w:t>
      </w:r>
      <w:r>
        <w:rPr>
          <w:rFonts w:ascii="Times New Roman" w:hAnsi="Times New Roman" w:eastAsia="바탕체"/>
          <w:b w:val="0"/>
          <w:i w:val="0"/>
          <w:sz w:val="20"/>
        </w:rPr>
        <w:t xml:space="preserve"> 같은 ablation에서 약 88M compound backbone(R과 obj-id를 384로 BICUBIC 보간한 입력)의 validation reference upper bound는 0.9784였다. 채택 구성은 5-seed 평균에서도 이보다 높았지만, 이를 용량 경쟁으로 보지는 않았다. 88M backbone은 384 해상도 사전학습 모델이라 native one-hot 격자를 보간 확대해야 하며, 이 과정에서 categorical 신호가 손상될 수 있다. 용량과 표현의 완전 분리는 native 격자용 대형 모델 학습이 필요한 후속 과제로 남겼다.</w:t>
      </w:r>
    </w:p>
    <w:p>
      <w:pPr>
        <w:spacing w:line="240" w:lineRule="auto" w:before="0" w:after="60"/>
        <w:jc w:val="both"/>
      </w:pPr>
      <w:r>
        <w:rPr>
          <w:rFonts w:ascii="Times New Roman" w:hAnsi="Times New Roman" w:eastAsia="바탕체"/>
          <w:b w:val="0"/>
          <w:i w:val="0"/>
          <w:sz w:val="20"/>
        </w:rPr>
        <w:t>추가 결합 구조의 필요성은 두 모델의 disagreement로 보았다. R-only backbone과 obj-id 두 모델의 동시 오답은 합성 평가셋에서 0.78%에 그쳤고, 대부분을 obj-only 단독이 이미 확보해 mid-fusion과 cross-attention 여지는 작았다. 학습 비용도 R-only 88M의 약 12.5시간 대비 1.16M chip-CNN은 1분 미만으로 파라미터 약 76배, 학습 약 750배 차이다. 비채택 in_ch=6도 seed 5회 0.9838±0.0092로 일관돼 입력 표현 차이를 다시 확인하였다. raw Failbit Map에서 구분이 어려운 두 클래스도 object-id map에서는 chip class 색 패턴으로 분리된다(Figure 8).</w:t>
      </w:r>
    </w:p>
    <w:p>
      <w:pPr>
        <w:spacing w:line="240" w:lineRule="auto" w:before="0" w:after="40"/>
        <w:jc w:val="center"/>
      </w:pPr>
      <w:r>
        <w:drawing>
          <wp:inline xmlns:a="http://schemas.openxmlformats.org/drawingml/2006/main" xmlns:pic="http://schemas.openxmlformats.org/drawingml/2006/picture">
            <wp:extent cx="2951999" cy="842770"/>
            <wp:docPr id="8" name="Picture 8"/>
            <wp:cNvGraphicFramePr>
              <a:graphicFrameLocks noChangeAspect="1"/>
            </wp:cNvGraphicFramePr>
            <a:graphic>
              <a:graphicData uri="http://schemas.openxmlformats.org/drawingml/2006/picture">
                <pic:pic>
                  <pic:nvPicPr>
                    <pic:cNvPr id="0" name="fig_objid_compare.png"/>
                    <pic:cNvPicPr/>
                  </pic:nvPicPr>
                  <pic:blipFill>
                    <a:blip r:embed="rId22"/>
                    <a:stretch>
                      <a:fillRect/>
                    </a:stretch>
                  </pic:blipFill>
                  <pic:spPr>
                    <a:xfrm>
                      <a:off x="0" y="0"/>
                      <a:ext cx="2951999" cy="842770"/>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8. Class separability of raw Failbit Map vs object-id map. Two samples hard to tell apart in raw form ((a), (c)) separate clearly in the object-id maps ((b), (d)), where each chip's class is rendered as color. [Generated data, under development]</w:t>
      </w:r>
    </w:p>
    <w:p>
      <w:pPr>
        <w:spacing w:line="240" w:lineRule="auto" w:before="0" w:after="60"/>
        <w:jc w:val="both"/>
      </w:pPr>
      <w:r>
        <w:rPr>
          <w:rFonts w:ascii="Times New Roman" w:hAnsi="Times New Roman" w:eastAsia="바탕체"/>
          <w:b w:val="0"/>
          <w:i w:val="0"/>
          <w:sz w:val="20"/>
        </w:rPr>
        <w:t>약점도 데이터 측면에서 분석하였다. Edge-Bottom/Edge-Top 식별이 다른 분포(1.0000)보다 다소 낮은데, 이는 해당 공간 한정 클래스의 불량 chip이 6개뿐인 데이터 한계이지 알고리즘 한계가 아니다. mid-fusion, cross-attention, KDE/GMM late fusion을 모두 시험했으나 obj-only 단독을 넘지 못해, 이 약점은 표본 확충으로 다룬다. 이 모듈은 DRAM YE(Yield Enhancement)팀과 chip-object 라벨 체계를 확정한 뒤 실제 현업 데이터로 최종 평가한다.</w:t>
      </w:r>
    </w:p>
    <w:p>
      <w:pPr>
        <w:spacing w:line="240" w:lineRule="auto" w:before="100" w:after="40"/>
        <w:jc w:val="left"/>
      </w:pPr>
      <w:r>
        <w:rPr>
          <w:rFonts w:ascii="Times New Roman" w:hAnsi="Times New Roman" w:eastAsia="바탕체"/>
          <w:b/>
          <w:i w:val="0"/>
          <w:sz w:val="20"/>
        </w:rPr>
        <w:t>2.2.2. Unknown 결과</w:t>
      </w:r>
    </w:p>
    <w:p>
      <w:pPr>
        <w:spacing w:line="240" w:lineRule="auto" w:before="0" w:after="60"/>
        <w:jc w:val="both"/>
      </w:pPr>
      <w:r>
        <w:rPr>
          <w:rFonts w:ascii="Times New Roman" w:hAnsi="Times New Roman" w:eastAsia="바탕체"/>
          <w:b w:val="0"/>
          <w:i w:val="0"/>
          <w:sz w:val="20"/>
        </w:rPr>
        <w:t>운영 적용에서 대조 임베딩과 HDBSCAN(2.1.3)은 수천 장의 운영 wafer를 13개 검토 group으로 정리했고, 그중 7개가 전문가 검토에서 신규 불량으로 확인되었다. 실전 Unknown은 정답 라벨이 없고 양산 noise가 커 F1/ARI 같은 정량 점수가 성립하지 않는다. 따라서 13→7은 classifier precision이 아니라 담당자가 13개 group을 검토해 7개 신규 불량을 확인한 field review 결과로만 해석한다. Unknown embedding 경로의 측정값은 frozen encoder forward가 wafer당 약 14.3 ms, HDBSCAN 포함 end-to-end가 약 24 ms였으나, 이는 모델 경로의 개발과 검증 측정값이다. Table 3의 FBM generation/storage는 Cython 변환 속도와 palette 저장 효율만 요약하며, 이 값을 model serving throughput처럼 해석하지 않는다.</w:t>
      </w:r>
    </w:p>
    <w:p>
      <w:pPr>
        <w:spacing w:line="240" w:lineRule="auto" w:before="0" w:after="60"/>
        <w:jc w:val="both"/>
      </w:pPr>
      <w:r>
        <w:rPr>
          <w:rFonts w:ascii="Times New Roman" w:hAnsi="Times New Roman" w:eastAsia="바탕체"/>
          <w:b w:val="0"/>
          <w:i w:val="0"/>
          <w:sz w:val="20"/>
        </w:rPr>
        <w:t>후속 개발값을 관리하기 위해 정답 라벨이 있는 별도 합성 평가셋에서 Local DenseCL, MoCo queue, NV-Retriever, NeCo를 단계적으로 비교하였다(Table 6). 이 표는 실전 13/7과 분리된 component-isolation 평가셋(per class 500, normal 2000)의 단일 run 값이다. 대조 head는 noise를 15.78%에서 0.00%로 낮췄고, Completeness는 0.9679로 높였다. 가장 큰 단일 감소는 MoCo queue에서 나타나 noise가 13.87%에서 9.45%로 줄었다. Completeness와 n_cluster는 generated-development recipe 관리 지표이며 field Unknown 13→7과 한 점수처럼 더하지 않는다.</w:t>
      </w:r>
    </w:p>
    <w:p>
      <w:pPr>
        <w:keepNext/>
        <w:spacing w:line="240" w:lineRule="auto" w:before="0" w:after="40"/>
        <w:jc w:val="left"/>
      </w:pPr>
      <w:r>
        <w:rPr>
          <w:rFonts w:ascii="Times New Roman" w:hAnsi="Times New Roman" w:eastAsia="바탕체"/>
          <w:b w:val="0"/>
          <w:i w:val="0"/>
          <w:sz w:val="18"/>
        </w:rPr>
        <w:t>Table 6. Component-isolation benchmark for Unknown clustering (single run). Completeness = backbone-level cluster separability measure used for generated-development recipe management, and n_cluster is the number of groups after clustering. The operational 13→7 result means field reviewers checked 13 groups and confirmed 7 new failure groups; it is not classification precision. [Generated data, under development]</w:t>
      </w:r>
    </w:p>
    <w:tbl>
      <w:tblPr>
        <w:tblW w:type="auto" w:w="0"/>
        <w:jc w:val="center"/>
        <w:tblLayout w:type="fixed"/>
        <w:tblLook w:firstColumn="1" w:firstRow="1" w:lastColumn="0" w:lastRow="0" w:noHBand="0" w:noVBand="1" w:val="04A0"/>
      </w:tblPr>
      <w:tblGrid>
        <w:gridCol w:w="975"/>
        <w:gridCol w:w="975"/>
        <w:gridCol w:w="975"/>
        <w:gridCol w:w="975"/>
        <w:gridCol w:w="975"/>
      </w:tblGrid>
      <w:tr>
        <w:trPr>
          <w:cantSplit/>
        </w:trPr>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Recipe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Capture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Noise(%)</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Completeness</w:t>
            </w:r>
          </w:p>
        </w:tc>
        <w:tc>
          <w:tcPr>
            <w:tcW w:type="dxa" w:w="97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n_cluster</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Global InfoNCE only</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0.9337</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15.78</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0.9468</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40</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Local DenseCL</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0.9361</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13.87</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0.9502</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37</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MoCo Queue</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0.9356</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9.45</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0.9474</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41</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NV-Retriever NEG</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0.9250</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8.23</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0.9485</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40</w:t>
            </w:r>
          </w:p>
        </w:tc>
      </w:tr>
      <w:tr>
        <w:trPr>
          <w:cantSplit/>
        </w:trPr>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 NeCo (5-tool)</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0.9559</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6.66</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0.9660</w:t>
            </w:r>
          </w:p>
        </w:tc>
        <w:tc>
          <w:tcPr>
            <w:tcW w:type="dxa" w:w="97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35</w:t>
            </w:r>
          </w:p>
        </w:tc>
      </w:tr>
      <w:tr>
        <w:trPr>
          <w:cantSplit/>
        </w:trPr>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최종 + tau=0.5 후처리</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0.9619</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0.9679</w:t>
            </w:r>
          </w:p>
        </w:tc>
        <w:tc>
          <w:tcPr>
            <w:tcW w:type="dxa" w:w="97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35</w:t>
            </w:r>
          </w:p>
        </w:tc>
      </w:tr>
    </w:tbl>
    <w:p/>
    <w:p>
      <w:pPr>
        <w:spacing w:line="240" w:lineRule="auto" w:before="100" w:after="40"/>
        <w:jc w:val="left"/>
      </w:pPr>
      <w:r>
        <w:rPr>
          <w:rFonts w:ascii="Times New Roman" w:hAnsi="Times New Roman" w:eastAsia="바탕체"/>
          <w:b/>
          <w:i w:val="0"/>
          <w:sz w:val="20"/>
        </w:rPr>
        <w:t>2.2.3. chip multi-label 결과</w:t>
      </w:r>
    </w:p>
    <w:p>
      <w:pPr>
        <w:spacing w:line="240" w:lineRule="auto" w:before="0" w:after="60"/>
        <w:jc w:val="both"/>
      </w:pPr>
      <w:r>
        <w:rPr>
          <w:rFonts w:ascii="Times New Roman" w:hAnsi="Times New Roman" w:eastAsia="바탕체"/>
          <w:b w:val="0"/>
          <w:i w:val="0"/>
          <w:sz w:val="20"/>
        </w:rPr>
        <w:t>Table 7에는 학습 recipe를 바꾸며 본 결과를 모았다. 처음에는 loss만 바꾸는 방식으로는 충분하지 않았다. BCE+label smoothing(0.1093·FAR 99.47%), Focal[15], ASL[16]은 FAR를 안정적으로 누르지 못했다. 단순 CutMix도 FAR가 42.05%로 남았고, Pair Mask를 더해야 24.62%까지 낮아졌다. FCM-PM과 val_margin을 결합한 단일 모델은 bit-F1 0.9927·Total FAR 0.00%에 도달하였다. val_f1 기준 대비 single 1.0000→0.9996의 미세 손실은 있었지만, 2-combo는 0.9517→0.9871로 올라갔고 FAR는 0.15%→0.00%로 줄었다. ensemble은 bit-F1 0.9956의 upper-bound를 보였지만 비용이 약 5배이고, KD student는 경량화 후보로 0.9799에 머물러 후속 과제다. Table 7에서 CM은 CutMix, C+PM은 CutMix+Pair Mask, FCM-F는 FCM-PM+val_f1, FCM-M*은 채택한 FCM-PM+val_margin, Ens.는 upper-bound ensemble, KD는 경량화 후보 student를 뜻한다.</w:t>
      </w:r>
    </w:p>
    <w:p>
      <w:pPr>
        <w:keepNext/>
        <w:spacing w:line="240" w:lineRule="auto" w:before="0" w:after="40"/>
        <w:jc w:val="left"/>
      </w:pPr>
      <w:r>
        <w:rPr>
          <w:rFonts w:ascii="Times New Roman" w:hAnsi="Times New Roman" w:eastAsia="바탕체"/>
          <w:b w:val="0"/>
          <w:i w:val="0"/>
          <w:sz w:val="18"/>
        </w:rPr>
        <w:t>Table 7. Stage-wise performance of chip multi-label training recipes (2,000 per class). Controlled synthetic benchmark based on field failure-chip source and domain probability-distribution synthesis; not a production deployment result.</w:t>
      </w:r>
    </w:p>
    <w:tbl>
      <w:tblPr>
        <w:tblW w:type="auto" w:w="0"/>
        <w:jc w:val="center"/>
        <w:tblLayout w:type="fixed"/>
        <w:tblLook w:firstColumn="1" w:firstRow="1" w:lastColumn="0" w:lastRow="0" w:noHBand="0" w:noVBand="1" w:val="04A0"/>
      </w:tblPr>
      <w:tblGrid>
        <w:gridCol w:w="813"/>
        <w:gridCol w:w="813"/>
        <w:gridCol w:w="813"/>
        <w:gridCol w:w="813"/>
        <w:gridCol w:w="813"/>
        <w:gridCol w:w="813"/>
      </w:tblGrid>
      <w:tr>
        <w:trPr>
          <w:cantSplit/>
        </w:trPr>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Recipe</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bit-F1</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single</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2-combo</w:t>
            </w:r>
          </w:p>
        </w:tc>
        <w:tc>
          <w:tcPr>
            <w:tcW w:type="dxa" w:w="813"/>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Total FAR</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BCE</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0.1093</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0.1896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0.0668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99.47%</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2</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Focal</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0.7980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0.8724</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0.7050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45.72%</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3</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ASL</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0.6435</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0.5379</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0.7320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0.9359</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0.9566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0.9070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42.05%</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5</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C+PM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0.9491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0.9728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0.9281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24.62%</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FCM-F</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0.9652</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0.9517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0.15%</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FCM-M*</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0.9927</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0.9996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0.9871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i w:val="0"/>
                <w:sz w:val="18"/>
              </w:rPr>
              <w:t>0.00%</w:t>
            </w:r>
          </w:p>
        </w:tc>
      </w:tr>
      <w:tr>
        <w:trPr>
          <w:cantSplit/>
        </w:trPr>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8</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Ens.</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0.9956</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0.9921</w:t>
            </w:r>
          </w:p>
        </w:tc>
        <w:tc>
          <w:tcPr>
            <w:tcW w:type="dxa" w:w="813"/>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r>
      <w:tr>
        <w:trPr>
          <w:cantSplit/>
        </w:trPr>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9</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KD</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0.9799</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1.0000</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0.9638</w:t>
            </w:r>
          </w:p>
        </w:tc>
        <w:tc>
          <w:tcPr>
            <w:tcW w:type="dxa" w:w="813"/>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0.00%</w:t>
            </w:r>
          </w:p>
        </w:tc>
      </w:tr>
    </w:tbl>
    <w:p/>
    <w:p>
      <w:pPr>
        <w:spacing w:line="240" w:lineRule="auto" w:before="0" w:after="60"/>
        <w:jc w:val="both"/>
      </w:pPr>
      <w:r>
        <w:rPr>
          <w:rFonts w:ascii="Times New Roman" w:hAnsi="Times New Roman" w:eastAsia="바탕체"/>
          <w:b w:val="0"/>
          <w:i w:val="0"/>
          <w:sz w:val="20"/>
        </w:rPr>
        <w:t>Pair Mask를 제거하면(다른 모든 설정·reject 게이트 동일) 합성 background가 불량 신호로 누설되어 Total FAR가 0.00%에서 100%로 역전된다. 이 비교에서는 reject 게이트가 아니라 Pair Mask 구조가 false alarm 억제에 직접 기여했음을 통제된 ablation으로 확인하였다.</w:t>
      </w:r>
    </w:p>
    <w:p>
      <w:pPr>
        <w:spacing w:line="240" w:lineRule="auto" w:before="0" w:after="60"/>
        <w:jc w:val="both"/>
      </w:pPr>
      <w:r>
        <w:rPr>
          <w:rFonts w:ascii="Times New Roman" w:hAnsi="Times New Roman" w:eastAsia="바탕체"/>
          <w:b w:val="0"/>
          <w:i w:val="0"/>
          <w:sz w:val="20"/>
        </w:rPr>
        <w:t>여기서 bit-F1은 한 chip 라벨을 클래스 수만큼의 bit vector로 보고 각 bit를 독립 측정해 micro-average한 값으로, positive 집합은 single 4종과 2-combo 6종을 포함한다. Total FAR 0.00%는 Normal·Invalid와 OOD 4종을 합한 negative 약 2,640 chip에서 오검출이 없던 값이다. 단일 불량만으로 중복 불량을 검출하며 false alarm을 0으로 억제한 것은 라벨이 부족한 운영 환경을 위한 방법론 수준의 검증이며, 본 수치는 controlled synthetic benchmark로만 해석한다.</w:t>
      </w:r>
    </w:p>
    <w:p>
      <w:pPr>
        <w:spacing w:line="240" w:lineRule="auto" w:before="100" w:after="40"/>
        <w:jc w:val="left"/>
      </w:pPr>
      <w:r>
        <w:rPr>
          <w:rFonts w:ascii="Times New Roman" w:hAnsi="Times New Roman" w:eastAsia="바탕체"/>
          <w:b/>
          <w:i w:val="0"/>
          <w:sz w:val="20"/>
        </w:rPr>
        <w:t>2.2.4. 시스템·운영</w:t>
      </w:r>
    </w:p>
    <w:p>
      <w:pPr>
        <w:spacing w:line="240" w:lineRule="auto" w:before="0" w:after="60"/>
        <w:jc w:val="both"/>
      </w:pPr>
      <w:r>
        <w:rPr>
          <w:rFonts w:ascii="Times New Roman" w:hAnsi="Times New Roman" w:eastAsia="바탕체"/>
          <w:b w:val="0"/>
          <w:i w:val="0"/>
          <w:sz w:val="20"/>
        </w:rPr>
        <w:t>구축한 viewer/data pipeline은 2025년부터 DRAM D1a~D1d 관련 제품 파트의 FBM review infrastructure로 사용된다. 담당자는 이 화면에서 wafer ID를 검색하고, map overlay와 chip measure를 확인한 뒤 review label을 남긴다. 여기서 사용 범위는 FBM 생성, 조회, overlay, label review를 지원하는 review infrastructure에 한정되며, Known/Unknown/chip model serving이나 object-id map 양산 적용 완료를 의미하지 않는다. 1시간 주기 자동 적재로 기존 도구의 한 번에 약 48매 열람이 일 약 2만 wafer 누적 비교로 확장되었다(Table 8). 운영에서는 13개 검토 group 중 7개가 신규 불량으로 확인되었고, 이 결과가 라벨과 재학습 자료로 다시 쌓였다(Figure 9). 이 전환의 운영 효과는 분석 공수 약 90% 절감, P3WN 제품 사례의 수율 약 0.02%p 개선, 메모리제조기술센터 내부 성과 인정 기준 약 123억 규모로 집계되고 인정되었다.</w:t>
      </w:r>
      <w:r>
        <w:rPr>
          <w:rFonts w:ascii="Times New Roman" w:hAnsi="Times New Roman" w:eastAsia="바탕체"/>
          <w:b w:val="0"/>
          <w:i w:val="0"/>
          <w:sz w:val="20"/>
          <w:vertAlign w:val="superscript"/>
        </w:rPr>
        <w:t>3</w:t>
      </w:r>
      <w:r>
        <w:rPr>
          <w:rFonts w:ascii="Times New Roman" w:hAnsi="Times New Roman" w:eastAsia="바탕체"/>
          <w:b w:val="0"/>
          <w:i w:val="0"/>
          <w:sz w:val="20"/>
        </w:rPr>
        <w:t xml:space="preserve"> 또한 Flash YE에서 본 분석 구조의 확산 요청이 접수되어, Flash/NAND 계열 bin map review와 chip multi-label 분석으로의 적용을 검토 중이다. 다만 운영 정량 성과는 DRAM viewer/data pipeline 기준으로 한정한다. 이 값들은 viewer/data pipeline의 운영 효과이며, Table 4~7의 모델 성능 수치와 한 점수처럼 더하지 않는다.</w:t>
      </w:r>
    </w:p>
    <w:p>
      <w:pPr>
        <w:spacing w:line="240" w:lineRule="auto" w:before="0" w:after="40"/>
        <w:jc w:val="center"/>
      </w:pPr>
      <w:r>
        <w:drawing>
          <wp:inline xmlns:a="http://schemas.openxmlformats.org/drawingml/2006/main" xmlns:pic="http://schemas.openxmlformats.org/drawingml/2006/picture">
            <wp:extent cx="2951999" cy="1844999"/>
            <wp:docPr id="9" name="Picture 9"/>
            <wp:cNvGraphicFramePr>
              <a:graphicFrameLocks noChangeAspect="1"/>
            </wp:cNvGraphicFramePr>
            <a:graphic>
              <a:graphicData uri="http://schemas.openxmlformats.org/drawingml/2006/picture">
                <pic:pic>
                  <pic:nvPicPr>
                    <pic:cNvPr id="0" name="fig09_webapp_viewer.png"/>
                    <pic:cNvPicPr/>
                  </pic:nvPicPr>
                  <pic:blipFill>
                    <a:blip r:embed="rId23"/>
                    <a:stretch>
                      <a:fillRect/>
                    </a:stretch>
                  </pic:blipFill>
                  <pic:spPr>
                    <a:xfrm>
                      <a:off x="0" y="0"/>
                      <a:ext cx="2951999" cy="1844999"/>
                    </a:xfrm>
                    <a:prstGeom prst="rect"/>
                  </pic:spPr>
                </pic:pic>
              </a:graphicData>
            </a:graphic>
          </wp:inline>
        </w:drawing>
      </w:r>
    </w:p>
    <w:p>
      <w:pPr>
        <w:spacing w:line="240" w:lineRule="auto" w:before="0" w:after="80"/>
        <w:jc w:val="center"/>
      </w:pPr>
      <w:r>
        <w:rPr>
          <w:rFonts w:ascii="Times New Roman" w:hAnsi="Times New Roman" w:eastAsia="바탕체"/>
          <w:b w:val="0"/>
          <w:i w:val="0"/>
          <w:sz w:val="18"/>
        </w:rPr>
        <w:t>Figure 9. Screenshot of the deployed web application. Search panel, wafer map viewer, chip overlay, measurement panel, navigator thumbnails, and label review are integrated in one screen for large-volume FBM review. [Real operation screenshot]</w:t>
      </w:r>
    </w:p>
    <w:p>
      <w:pPr>
        <w:keepNext/>
        <w:spacing w:line="240" w:lineRule="auto" w:before="0" w:after="40"/>
        <w:jc w:val="left"/>
      </w:pPr>
      <w:r>
        <w:rPr>
          <w:rFonts w:ascii="Times New Roman" w:hAnsi="Times New Roman" w:eastAsia="바탕체"/>
          <w:b w:val="0"/>
          <w:i w:val="0"/>
          <w:sz w:val="18"/>
        </w:rPr>
        <w:t>Table 8. As-is → to-be of map analysis work.</w:t>
      </w:r>
    </w:p>
    <w:tbl>
      <w:tblPr>
        <w:tblW w:type="auto" w:w="0"/>
        <w:jc w:val="center"/>
        <w:tblLayout w:type="fixed"/>
        <w:tblLook w:firstColumn="1" w:firstRow="1" w:lastColumn="0" w:lastRow="0" w:noHBand="0" w:noVBand="1" w:val="04A0"/>
      </w:tblPr>
      <w:tblGrid>
        <w:gridCol w:w="1625"/>
        <w:gridCol w:w="1625"/>
        <w:gridCol w:w="1625"/>
      </w:tblGrid>
      <w:tr>
        <w:trPr>
          <w:cantSplit/>
        </w:trPr>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항목</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as-is</w:t>
            </w:r>
          </w:p>
        </w:tc>
        <w:tc>
          <w:tcPr>
            <w:tcW w:type="dxa" w:w="1625"/>
            <w:tcBorders>
              <w:top w:val="single" w:sz="12" w:space="0" w:color="000000"/>
              <w:left w:val="nil"/>
              <w:bottom w:val="single" w:sz="8" w:space="0" w:color="000000"/>
              <w:right w:val="nil"/>
              <w:insideH w:val="nil"/>
              <w:insideV w:val="nil"/>
            </w:tcBorders>
            <w:vAlign w:val="center"/>
          </w:tcPr>
          <w:p>
            <w:pPr>
              <w:spacing w:line="240" w:lineRule="auto" w:before="0" w:after="0"/>
              <w:jc w:val="center"/>
            </w:pPr>
            <w:r>
              <w:rPr>
                <w:rFonts w:ascii="Times New Roman" w:hAnsi="Times New Roman" w:eastAsia="바탕체"/>
                <w:b/>
                <w:i w:val="0"/>
                <w:sz w:val="18"/>
              </w:rPr>
              <w:t>to-be</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1회 열람 규모</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약 48매</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일 약 2만 wafer 누적</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composite 집계</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사실상 불가</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사전 적재 자산 즉시 합성</w:t>
            </w:r>
          </w:p>
        </w:tc>
      </w:tr>
      <w:tr>
        <w:trPr>
          <w:cantSplit/>
        </w:trPr>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Unknown 신규 패턴</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수동 산발 발견</w:t>
            </w:r>
          </w:p>
        </w:tc>
        <w:tc>
          <w:tcPr>
            <w:tcW w:type="dxa" w:w="1625"/>
            <w:tcBorders>
              <w:top w:val="nil"/>
              <w:left w:val="nil"/>
              <w:bottom w:val="nil"/>
              <w:right w:val="nil"/>
              <w:insideH w:val="nil"/>
              <w:insideV w:val="nil"/>
            </w:tcBorders>
            <w:vAlign w:val="center"/>
          </w:tcPr>
          <w:p>
            <w:pPr>
              <w:spacing w:line="240" w:lineRule="auto" w:before="0" w:after="0"/>
              <w:jc w:val="center"/>
            </w:pPr>
            <w:r>
              <w:rPr>
                <w:rFonts w:ascii="Times New Roman" w:hAnsi="Times New Roman" w:eastAsia="바탕체"/>
                <w:b w:val="0"/>
                <w:i w:val="0"/>
                <w:sz w:val="18"/>
              </w:rPr>
              <w:t>13개 검토 group으로 정리</w:t>
            </w:r>
          </w:p>
        </w:tc>
      </w:tr>
      <w:tr>
        <w:trPr>
          <w:cantSplit/>
        </w:trPr>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확산 수요</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DRAM 중심</w:t>
            </w:r>
          </w:p>
        </w:tc>
        <w:tc>
          <w:tcPr>
            <w:tcW w:type="dxa" w:w="1625"/>
            <w:tcBorders>
              <w:top w:val="nil"/>
              <w:left w:val="nil"/>
              <w:bottom w:val="single" w:sz="12" w:space="0" w:color="000000"/>
              <w:right w:val="nil"/>
              <w:insideH w:val="nil"/>
              <w:insideV w:val="nil"/>
            </w:tcBorders>
            <w:vAlign w:val="center"/>
          </w:tcPr>
          <w:p>
            <w:pPr>
              <w:spacing w:line="240" w:lineRule="auto" w:before="0" w:after="0"/>
              <w:jc w:val="center"/>
            </w:pPr>
            <w:r>
              <w:rPr>
                <w:rFonts w:ascii="Times New Roman" w:hAnsi="Times New Roman" w:eastAsia="바탕체"/>
                <w:b w:val="0"/>
                <w:i w:val="0"/>
                <w:sz w:val="18"/>
              </w:rPr>
              <w:t>Flash YE 확산 요청, Flash/NAND 적용 검토</w:t>
            </w:r>
          </w:p>
        </w:tc>
      </w:tr>
    </w:tbl>
    <w:p/>
    <w:p>
      <w:pPr>
        <w:spacing w:line="240" w:lineRule="auto" w:before="100" w:after="40"/>
        <w:jc w:val="left"/>
      </w:pPr>
      <w:r>
        <w:rPr>
          <w:rFonts w:ascii="Times New Roman" w:hAnsi="Times New Roman" w:eastAsia="바탕체"/>
          <w:b/>
          <w:i w:val="0"/>
          <w:sz w:val="20"/>
        </w:rPr>
        <w:t>2.3. 논의 및 한계</w:t>
      </w:r>
    </w:p>
    <w:p>
      <w:pPr>
        <w:spacing w:line="240" w:lineRule="auto" w:before="0" w:after="60"/>
        <w:jc w:val="both"/>
      </w:pPr>
      <w:r>
        <w:rPr>
          <w:rFonts w:ascii="Times New Roman" w:hAnsi="Times New Roman" w:eastAsia="바탕체"/>
          <w:b w:val="0"/>
          <w:i w:val="0"/>
          <w:sz w:val="20"/>
        </w:rPr>
        <w:t>object-id map 결과는 생성 데이터셋의 미양산 개발값이다. 공개 wafer 데이터는 die 단위 bin map이라 chip 내부 형태와 계측을 한 좌표계에서 다루는 이 작업과 직접 비교하기 어렵고, 타 제품군과 라인 일반화, 외부 검증은 후속 과제다.</w:t>
      </w:r>
    </w:p>
    <w:p>
      <w:pPr>
        <w:spacing w:line="240" w:lineRule="auto" w:before="0" w:after="60"/>
        <w:jc w:val="both"/>
      </w:pPr>
      <w:r>
        <w:rPr>
          <w:rFonts w:ascii="Times New Roman" w:hAnsi="Times New Roman" w:eastAsia="바탕체"/>
          <w:b/>
          <w:i w:val="0"/>
          <w:sz w:val="20"/>
        </w:rPr>
        <w:t>측정으로 기각한 설계 선택.</w:t>
      </w:r>
      <w:r>
        <w:rPr>
          <w:rFonts w:ascii="Times New Roman" w:hAnsi="Times New Roman" w:eastAsia="바탕체"/>
          <w:b w:val="0"/>
          <w:i w:val="0"/>
          <w:sz w:val="20"/>
        </w:rPr>
        <w:t xml:space="preserve"> 채택하지 않은 항목도 그냥 제외하지 않았다. 측정 결과가 기준이었다. Unknown은 구성요소 위계를 비교해 불필요한 요소를 제외했고(2.1.3), backbone 일부 해제는 소규모 데이터에서 supervised collapse를 일으켜 배제하였다. Isotonic 보정은 in-sample F1 0.9931로 높았으나 두 모델 oracle 상한 0.9923을 넘어 검증셋 과적합으로 판단했다.</w:t>
      </w:r>
    </w:p>
    <w:p>
      <w:pPr>
        <w:spacing w:line="240" w:lineRule="auto" w:before="0" w:after="60"/>
        <w:jc w:val="both"/>
      </w:pPr>
      <w:r>
        <w:rPr>
          <w:rFonts w:ascii="Times New Roman" w:hAnsi="Times New Roman" w:eastAsia="바탕체"/>
          <w:b/>
          <w:i w:val="0"/>
          <w:sz w:val="20"/>
        </w:rPr>
        <w:t>평가 무결성.</w:t>
      </w:r>
      <w:r>
        <w:rPr>
          <w:rFonts w:ascii="Times New Roman" w:hAnsi="Times New Roman" w:eastAsia="바탕체"/>
          <w:b w:val="0"/>
          <w:i w:val="0"/>
          <w:sz w:val="20"/>
        </w:rPr>
        <w:t xml:space="preserve"> 모든 비교는 같은 wafer 수, chip 수, epoch, best-model 기준으로 통일하였다. ROI prior의 KDE/GMM은 train split에서만 적합했고, object-id 개발 평가도 chip 원천을 먼저 split한 뒤 합성해 train/test 누수를 차단하였다.</w:t>
      </w:r>
    </w:p>
    <w:p>
      <w:pPr>
        <w:spacing w:line="240" w:lineRule="auto" w:before="100" w:after="40"/>
        <w:jc w:val="left"/>
      </w:pPr>
      <w:r>
        <w:rPr>
          <w:rFonts w:ascii="Times New Roman" w:hAnsi="Times New Roman" w:eastAsia="바탕체"/>
          <w:b/>
          <w:i w:val="0"/>
          <w:sz w:val="20"/>
        </w:rPr>
        <w:t>2.4. 향후 연구</w:t>
      </w:r>
    </w:p>
    <w:p>
      <w:pPr>
        <w:spacing w:line="240" w:lineRule="auto" w:before="0" w:after="60"/>
        <w:jc w:val="both"/>
      </w:pPr>
      <w:r>
        <w:rPr>
          <w:rFonts w:ascii="Times New Roman" w:hAnsi="Times New Roman" w:eastAsia="바탕체"/>
          <w:b w:val="0"/>
          <w:i w:val="0"/>
          <w:sz w:val="20"/>
        </w:rPr>
        <w:t>향후에는 먼저 DRAM YE팀과 object-id map 라벨 체계를 확정한 뒤 실제 데이터로 평가한다. Flash YE 확산 요청은 적용 범위, 권한, 데이터 차이를 확인한 뒤 추진한다. 같은 좌표계의 wafer 이미지와 chip 계측값을 함께 써서 패턴과 계측 근인을 같이 추적하는 것도 다음 과제다. 대조 임베딩은 검색 인덱스로 재활용해 과거 유사 사례와 담당자 note를 찾는 진단 보조 기능으로 확장할 수 있다. 이미지와 trend, 이력 정보를 요약하는 large language model 기반 기능은 담당자 승인과 이력 관리가 있는 decision-support 범위로 한정한다.</w:t>
      </w:r>
    </w:p>
    <w:p>
      <w:pPr>
        <w:spacing w:line="240" w:lineRule="auto" w:before="160" w:after="80"/>
        <w:jc w:val="left"/>
      </w:pPr>
      <w:r>
        <w:rPr>
          <w:rFonts w:ascii="Times New Roman" w:hAnsi="Times New Roman" w:eastAsia="바탕체"/>
          <w:b/>
          <w:i w:val="0"/>
          <w:sz w:val="24"/>
        </w:rPr>
        <w:t>3. 결론</w:t>
      </w:r>
    </w:p>
    <w:p>
      <w:pPr>
        <w:spacing w:line="240" w:lineRule="auto" w:before="0" w:after="60"/>
        <w:jc w:val="both"/>
      </w:pPr>
      <w:r>
        <w:rPr>
          <w:rFonts w:ascii="Times New Roman" w:hAnsi="Times New Roman" w:eastAsia="바탕체"/>
          <w:b w:val="0"/>
          <w:i w:val="0"/>
          <w:sz w:val="20"/>
        </w:rPr>
        <w:t>마지막까지 유지한 기준은 개별 모델의 성능 경쟁이 아니라 좌표를 잃지 않는 것이었다. wafer 이미지, chip 좌표, measure value, 모델 출력, 검토 라벨을 하나의 좌표계에 묶었고, 담당자는 같은 chip을 다시 열어 map과 수치, 라벨을 함께 볼 수 있게 했다. 이 원칙은 palette 표현, flip 배제, structured sampling, one-hot 인코딩으로 이어졌다. Known 경로는 ConvNeXtV2와 선택적 ROI-YOLO로 field validation weighted F1 0.95를 확인했고, Unknown 경로는 라벨 없는 운영 wafer를 13개 검토 group으로 정리해 7개 신규 failure를 확인했다. FCM-PM은 single 불량 chip만으로 2-combo 학습 신호를 만들어 controlled synthetic benchmark에서 bit-F1 0.9927과 FAR 0.00%를 보였다. viewer/data pipeline은 약 48매 단위 조회를 일 약 2만 wafer 누적 비교로 확장했으며, object-id map과 chip model serving은 별도 검증 단계로 관리한다. 결국 Failbit Map은 한 번 보고 끝나는 이미지가 아니라, 담당자가 wafer ID로 다시 열어 chip 근거를 확인하고 판단 라벨을 다음 학습 목록에 남길 수 있는 작업 기록이 된다.</w:t>
      </w:r>
    </w:p>
    <w:p>
      <w:pPr>
        <w:spacing w:line="240" w:lineRule="auto" w:before="100" w:after="40"/>
        <w:jc w:val="left"/>
      </w:pPr>
      <w:r>
        <w:rPr>
          <w:rFonts w:ascii="Times New Roman" w:hAnsi="Times New Roman" w:eastAsia="바탕체"/>
          <w:b/>
          <w:i w:val="0"/>
          <w:sz w:val="20"/>
        </w:rPr>
        <w:t>각주</w:t>
      </w:r>
    </w:p>
    <w:p>
      <w:pPr>
        <w:spacing w:line="240" w:lineRule="auto" w:before="0" w:after="40"/>
        <w:jc w:val="left"/>
      </w:pPr>
      <w:r>
        <w:rPr>
          <w:rFonts w:ascii="Times New Roman" w:hAnsi="Times New Roman" w:eastAsia="바탕체"/>
          <w:b/>
          <w:i w:val="0"/>
          <w:sz w:val="18"/>
        </w:rPr>
        <w:t xml:space="preserve">[1] </w:t>
      </w:r>
      <w:r>
        <w:rPr>
          <w:rFonts w:ascii="Times New Roman" w:hAnsi="Times New Roman" w:eastAsia="바탕체"/>
          <w:b w:val="0"/>
          <w:i w:val="0"/>
          <w:sz w:val="18"/>
        </w:rPr>
        <w:t>약 0.31 GFLOPs(307.9 MFLOPs)는 obj-id 분류기 ChipGridCNN(5채널 one-hot × 32×32 격자 입력, conv 6단 + 분류 head) 아키텍처에서 레이어별 MAC를 합산해 결정론적으로 산출한 값으로, parameter 약 1.16M과 정합한다.</w:t>
      </w:r>
    </w:p>
    <w:p>
      <w:pPr>
        <w:spacing w:line="240" w:lineRule="auto" w:before="0" w:after="40"/>
        <w:jc w:val="left"/>
      </w:pPr>
      <w:r>
        <w:rPr>
          <w:rFonts w:ascii="Times New Roman" w:hAnsi="Times New Roman" w:eastAsia="바탕체"/>
          <w:b/>
          <w:i w:val="0"/>
          <w:sz w:val="18"/>
        </w:rPr>
        <w:t xml:space="preserve">[2] </w:t>
      </w:r>
      <w:r>
        <w:rPr>
          <w:rFonts w:ascii="Times New Roman" w:hAnsi="Times New Roman" w:eastAsia="바탕체"/>
          <w:b w:val="0"/>
          <w:i w:val="0"/>
          <w:sz w:val="18"/>
        </w:rPr>
        <w:t>채택 in_ch=5와 비채택 in_ch=6을 동일 chip-원천 split에서 seed 5회(42/1/7/100/234) 반복하였다. in_ch=5는 validation 0.9905±0.0045 / hold-out 0.9831±0.0050이며, 최고 seed가 0.9946 / 0.9872이다.</w:t>
      </w:r>
    </w:p>
    <w:p>
      <w:pPr>
        <w:spacing w:line="240" w:lineRule="auto" w:before="0" w:after="40"/>
        <w:jc w:val="left"/>
      </w:pPr>
      <w:r>
        <w:rPr>
          <w:rFonts w:ascii="Times New Roman" w:hAnsi="Times New Roman" w:eastAsia="바탕체"/>
          <w:b/>
          <w:i w:val="0"/>
          <w:sz w:val="18"/>
        </w:rPr>
        <w:t xml:space="preserve">[3] </w:t>
      </w:r>
      <w:r>
        <w:rPr>
          <w:rFonts w:ascii="Times New Roman" w:hAnsi="Times New Roman" w:eastAsia="바탕체"/>
          <w:b w:val="0"/>
          <w:i w:val="0"/>
          <w:sz w:val="18"/>
        </w:rPr>
        <w:t>약 90% 공수 절감은 현업 운영 성과 집계·인정값, 약 0.02%p 수율 개선은 P3WN 단일 사례 기준(연환산 아님), 약 123억은 메모리제조기술센터 성과 인증값이다.</w:t>
      </w:r>
    </w:p>
    <w:p>
      <w:pPr>
        <w:spacing w:line="240" w:lineRule="auto" w:before="160" w:after="80"/>
        <w:jc w:val="left"/>
      </w:pPr>
      <w:r>
        <w:rPr>
          <w:rFonts w:ascii="Times New Roman" w:hAnsi="Times New Roman" w:eastAsia="바탕체"/>
          <w:b/>
          <w:i w:val="0"/>
          <w:sz w:val="24"/>
        </w:rPr>
        <w:t>참고문헌</w:t>
      </w:r>
    </w:p>
    <w:p>
      <w:pPr>
        <w:spacing w:line="240" w:lineRule="auto" w:before="0" w:after="40"/>
        <w:jc w:val="left"/>
      </w:pPr>
      <w:r>
        <w:rPr>
          <w:rFonts w:ascii="Times New Roman" w:hAnsi="Times New Roman" w:eastAsia="바탕체"/>
          <w:b w:val="0"/>
          <w:i w:val="0"/>
          <w:sz w:val="20"/>
        </w:rPr>
        <w:t xml:space="preserve">[1] Nakazawa, T. et al., "Wafer map defect pattern classification and image retrieval using convolutional neural network," </w:t>
      </w:r>
      <w:r>
        <w:rPr>
          <w:rFonts w:ascii="Times New Roman" w:hAnsi="Times New Roman" w:eastAsia="바탕체"/>
          <w:b w:val="0"/>
          <w:i/>
          <w:sz w:val="20"/>
        </w:rPr>
        <w:t>IEEE Trans. Semicond. Manuf.</w:t>
      </w:r>
      <w:r>
        <w:rPr>
          <w:rFonts w:ascii="Times New Roman" w:hAnsi="Times New Roman" w:eastAsia="바탕체"/>
          <w:b w:val="0"/>
          <w:i w:val="0"/>
          <w:sz w:val="20"/>
        </w:rPr>
        <w:t xml:space="preserve">, Vol. </w:t>
      </w:r>
      <w:r>
        <w:rPr>
          <w:rFonts w:ascii="Times New Roman" w:hAnsi="Times New Roman" w:eastAsia="바탕체"/>
          <w:b/>
          <w:i w:val="0"/>
          <w:sz w:val="20"/>
        </w:rPr>
        <w:t>31</w:t>
      </w:r>
      <w:r>
        <w:rPr>
          <w:rFonts w:ascii="Times New Roman" w:hAnsi="Times New Roman" w:eastAsia="바탕체"/>
          <w:b w:val="0"/>
          <w:i w:val="0"/>
          <w:sz w:val="20"/>
        </w:rPr>
        <w:t>, no. 2, pp. 309-314, 2018.</w:t>
      </w:r>
    </w:p>
    <w:p>
      <w:pPr>
        <w:spacing w:line="240" w:lineRule="auto" w:before="0" w:after="40"/>
        <w:jc w:val="left"/>
      </w:pPr>
      <w:r>
        <w:rPr>
          <w:rFonts w:ascii="Times New Roman" w:hAnsi="Times New Roman" w:eastAsia="바탕체"/>
          <w:b w:val="0"/>
          <w:i w:val="0"/>
          <w:sz w:val="20"/>
        </w:rPr>
        <w:t xml:space="preserve">[2] Alawieh, M. B. et al., "Wafer map defect patterns classification using deep selective learning," in </w:t>
      </w:r>
      <w:r>
        <w:rPr>
          <w:rFonts w:ascii="Times New Roman" w:hAnsi="Times New Roman" w:eastAsia="바탕체"/>
          <w:b w:val="0"/>
          <w:i/>
          <w:sz w:val="20"/>
        </w:rPr>
        <w:t>Proc. 57th ACM/IEEE Design Automation Conf. (DAC)</w:t>
      </w:r>
      <w:r>
        <w:rPr>
          <w:rFonts w:ascii="Times New Roman" w:hAnsi="Times New Roman" w:eastAsia="바탕체"/>
          <w:b w:val="0"/>
          <w:i w:val="0"/>
          <w:sz w:val="20"/>
        </w:rPr>
        <w:t>, pp. 1-6, 2020.</w:t>
      </w:r>
    </w:p>
    <w:p>
      <w:pPr>
        <w:spacing w:line="240" w:lineRule="auto" w:before="0" w:after="40"/>
        <w:jc w:val="left"/>
      </w:pPr>
      <w:r>
        <w:rPr>
          <w:rFonts w:ascii="Times New Roman" w:hAnsi="Times New Roman" w:eastAsia="바탕체"/>
          <w:b w:val="0"/>
          <w:i w:val="0"/>
          <w:sz w:val="20"/>
        </w:rPr>
        <w:t xml:space="preserve">[3] Khosla, P. et al., "Supervised contrastive learning," in </w:t>
      </w:r>
      <w:r>
        <w:rPr>
          <w:rFonts w:ascii="Times New Roman" w:hAnsi="Times New Roman" w:eastAsia="바탕체"/>
          <w:b w:val="0"/>
          <w:i/>
          <w:sz w:val="20"/>
        </w:rPr>
        <w:t>Advances in Neural Information Processing Systems (NeurIPS)</w:t>
      </w:r>
      <w:r>
        <w:rPr>
          <w:rFonts w:ascii="Times New Roman" w:hAnsi="Times New Roman" w:eastAsia="바탕체"/>
          <w:b w:val="0"/>
          <w:i w:val="0"/>
          <w:sz w:val="20"/>
        </w:rPr>
        <w:t xml:space="preserve">, Vol. </w:t>
      </w:r>
      <w:r>
        <w:rPr>
          <w:rFonts w:ascii="Times New Roman" w:hAnsi="Times New Roman" w:eastAsia="바탕체"/>
          <w:b/>
          <w:i w:val="0"/>
          <w:sz w:val="20"/>
        </w:rPr>
        <w:t>33</w:t>
      </w:r>
      <w:r>
        <w:rPr>
          <w:rFonts w:ascii="Times New Roman" w:hAnsi="Times New Roman" w:eastAsia="바탕체"/>
          <w:b w:val="0"/>
          <w:i w:val="0"/>
          <w:sz w:val="20"/>
        </w:rPr>
        <w:t>, pp. 18661-18673, 2020.</w:t>
      </w:r>
    </w:p>
    <w:p>
      <w:pPr>
        <w:spacing w:line="240" w:lineRule="auto" w:before="0" w:after="40"/>
        <w:jc w:val="left"/>
      </w:pPr>
      <w:r>
        <w:rPr>
          <w:rFonts w:ascii="Times New Roman" w:hAnsi="Times New Roman" w:eastAsia="바탕체"/>
          <w:b w:val="0"/>
          <w:i w:val="0"/>
          <w:sz w:val="20"/>
        </w:rPr>
        <w:t xml:space="preserve">[4] Jang, J. et al., "Decision fusion approach for detecting unknown wafer bin map patterns," </w:t>
      </w:r>
      <w:r>
        <w:rPr>
          <w:rFonts w:ascii="Times New Roman" w:hAnsi="Times New Roman" w:eastAsia="바탕체"/>
          <w:b w:val="0"/>
          <w:i/>
          <w:sz w:val="20"/>
        </w:rPr>
        <w:t>Expert Syst. Appl.</w:t>
      </w:r>
      <w:r>
        <w:rPr>
          <w:rFonts w:ascii="Times New Roman" w:hAnsi="Times New Roman" w:eastAsia="바탕체"/>
          <w:b w:val="0"/>
          <w:i w:val="0"/>
          <w:sz w:val="20"/>
        </w:rPr>
        <w:t xml:space="preserve">, Vol. </w:t>
      </w:r>
      <w:r>
        <w:rPr>
          <w:rFonts w:ascii="Times New Roman" w:hAnsi="Times New Roman" w:eastAsia="바탕체"/>
          <w:b/>
          <w:i w:val="0"/>
          <w:sz w:val="20"/>
        </w:rPr>
        <w:t>213</w:t>
      </w:r>
      <w:r>
        <w:rPr>
          <w:rFonts w:ascii="Times New Roman" w:hAnsi="Times New Roman" w:eastAsia="바탕체"/>
          <w:b w:val="0"/>
          <w:i w:val="0"/>
          <w:sz w:val="20"/>
        </w:rPr>
        <w:t>, 2023.</w:t>
      </w:r>
    </w:p>
    <w:p>
      <w:pPr>
        <w:spacing w:line="240" w:lineRule="auto" w:before="0" w:after="40"/>
        <w:jc w:val="left"/>
      </w:pPr>
      <w:r>
        <w:rPr>
          <w:rFonts w:ascii="Times New Roman" w:hAnsi="Times New Roman" w:eastAsia="바탕체"/>
          <w:b w:val="0"/>
          <w:i w:val="0"/>
          <w:sz w:val="20"/>
        </w:rPr>
        <w:t xml:space="preserve">[5] Woo, S. et al., "ConvNeXt V2: Co-designing and scaling ConvNets with masked autoencoders,"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16133-16142, 2023.</w:t>
      </w:r>
    </w:p>
    <w:p>
      <w:pPr>
        <w:spacing w:line="240" w:lineRule="auto" w:before="0" w:after="40"/>
        <w:jc w:val="left"/>
      </w:pPr>
      <w:r>
        <w:rPr>
          <w:rFonts w:ascii="Times New Roman" w:hAnsi="Times New Roman" w:eastAsia="바탕체"/>
          <w:b w:val="0"/>
          <w:i w:val="0"/>
          <w:sz w:val="20"/>
        </w:rPr>
        <w:t xml:space="preserve">[6] Chen, T. et al., "A simple framework for contrastive learning of visual representations," in </w:t>
      </w:r>
      <w:r>
        <w:rPr>
          <w:rFonts w:ascii="Times New Roman" w:hAnsi="Times New Roman" w:eastAsia="바탕체"/>
          <w:b w:val="0"/>
          <w:i/>
          <w:sz w:val="20"/>
        </w:rPr>
        <w:t>Proc. Int. Conf. on Machine Learning (ICML)</w:t>
      </w:r>
      <w:r>
        <w:rPr>
          <w:rFonts w:ascii="Times New Roman" w:hAnsi="Times New Roman" w:eastAsia="바탕체"/>
          <w:b w:val="0"/>
          <w:i w:val="0"/>
          <w:sz w:val="20"/>
        </w:rPr>
        <w:t>, PMLR 119, pp. 1597-1607, 2020.</w:t>
      </w:r>
    </w:p>
    <w:p>
      <w:pPr>
        <w:spacing w:line="240" w:lineRule="auto" w:before="0" w:after="40"/>
        <w:jc w:val="left"/>
      </w:pPr>
      <w:r>
        <w:rPr>
          <w:rFonts w:ascii="Times New Roman" w:hAnsi="Times New Roman" w:eastAsia="바탕체"/>
          <w:b w:val="0"/>
          <w:i w:val="0"/>
          <w:sz w:val="20"/>
        </w:rPr>
        <w:t xml:space="preserve">[7] Campello, R. J. G. B. et al., "Density-based clustering based on hierarchical density estimates," in </w:t>
      </w:r>
      <w:r>
        <w:rPr>
          <w:rFonts w:ascii="Times New Roman" w:hAnsi="Times New Roman" w:eastAsia="바탕체"/>
          <w:b w:val="0"/>
          <w:i/>
          <w:sz w:val="20"/>
        </w:rPr>
        <w:t>Proc. Pacific-Asia Conf. on Knowledge Discovery and Data Mining (PAKDD)</w:t>
      </w:r>
      <w:r>
        <w:rPr>
          <w:rFonts w:ascii="Times New Roman" w:hAnsi="Times New Roman" w:eastAsia="바탕체"/>
          <w:b w:val="0"/>
          <w:i w:val="0"/>
          <w:sz w:val="20"/>
        </w:rPr>
        <w:t>, pp. 160-172, 2013.</w:t>
      </w:r>
    </w:p>
    <w:p>
      <w:pPr>
        <w:spacing w:line="240" w:lineRule="auto" w:before="0" w:after="40"/>
        <w:jc w:val="left"/>
      </w:pPr>
      <w:r>
        <w:rPr>
          <w:rFonts w:ascii="Times New Roman" w:hAnsi="Times New Roman" w:eastAsia="바탕체"/>
          <w:b w:val="0"/>
          <w:i w:val="0"/>
          <w:sz w:val="20"/>
        </w:rPr>
        <w:t xml:space="preserve">[8] He, K. et al., "Momentum contrast for unsupervised visual representation learning,"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9729-9738, 2020.</w:t>
      </w:r>
    </w:p>
    <w:p>
      <w:pPr>
        <w:spacing w:line="240" w:lineRule="auto" w:before="0" w:after="40"/>
        <w:jc w:val="left"/>
      </w:pPr>
      <w:r>
        <w:rPr>
          <w:rFonts w:ascii="Times New Roman" w:hAnsi="Times New Roman" w:eastAsia="바탕체"/>
          <w:b w:val="0"/>
          <w:i w:val="0"/>
          <w:sz w:val="20"/>
        </w:rPr>
        <w:t xml:space="preserve">[9] Redmon, J. et al., "You only look once: Unified, real-time object detection," in </w:t>
      </w:r>
      <w:r>
        <w:rPr>
          <w:rFonts w:ascii="Times New Roman" w:hAnsi="Times New Roman" w:eastAsia="바탕체"/>
          <w:b w:val="0"/>
          <w:i/>
          <w:sz w:val="20"/>
        </w:rPr>
        <w:t>Proc. IEEE Conf. on Computer Vision and Pattern Recognition (CVPR)</w:t>
      </w:r>
      <w:r>
        <w:rPr>
          <w:rFonts w:ascii="Times New Roman" w:hAnsi="Times New Roman" w:eastAsia="바탕체"/>
          <w:b w:val="0"/>
          <w:i w:val="0"/>
          <w:sz w:val="20"/>
        </w:rPr>
        <w:t>, pp. 779-788, 2016.</w:t>
      </w:r>
    </w:p>
    <w:p>
      <w:pPr>
        <w:spacing w:line="240" w:lineRule="auto" w:before="0" w:after="40"/>
        <w:jc w:val="left"/>
      </w:pPr>
      <w:r>
        <w:rPr>
          <w:rFonts w:ascii="Times New Roman" w:hAnsi="Times New Roman" w:eastAsia="바탕체"/>
          <w:b w:val="0"/>
          <w:i w:val="0"/>
          <w:sz w:val="20"/>
        </w:rPr>
        <w:t xml:space="preserve">[10] Ren, S. et al., "Faster R-CNN: Towards real-time object detection with region proposal networks," </w:t>
      </w:r>
      <w:r>
        <w:rPr>
          <w:rFonts w:ascii="Times New Roman" w:hAnsi="Times New Roman" w:eastAsia="바탕체"/>
          <w:b w:val="0"/>
          <w:i/>
          <w:sz w:val="20"/>
        </w:rPr>
        <w:t>IEEE Trans. Pattern Anal. Mach. Intell.</w:t>
      </w:r>
      <w:r>
        <w:rPr>
          <w:rFonts w:ascii="Times New Roman" w:hAnsi="Times New Roman" w:eastAsia="바탕체"/>
          <w:b w:val="0"/>
          <w:i w:val="0"/>
          <w:sz w:val="20"/>
        </w:rPr>
        <w:t xml:space="preserve">, Vol. </w:t>
      </w:r>
      <w:r>
        <w:rPr>
          <w:rFonts w:ascii="Times New Roman" w:hAnsi="Times New Roman" w:eastAsia="바탕체"/>
          <w:b/>
          <w:i w:val="0"/>
          <w:sz w:val="20"/>
        </w:rPr>
        <w:t>39</w:t>
      </w:r>
      <w:r>
        <w:rPr>
          <w:rFonts w:ascii="Times New Roman" w:hAnsi="Times New Roman" w:eastAsia="바탕체"/>
          <w:b w:val="0"/>
          <w:i w:val="0"/>
          <w:sz w:val="20"/>
        </w:rPr>
        <w:t>, no. 6, pp. 1137-1149, 2017.</w:t>
      </w:r>
    </w:p>
    <w:p>
      <w:pPr>
        <w:spacing w:line="240" w:lineRule="auto" w:before="0" w:after="40"/>
        <w:jc w:val="left"/>
      </w:pPr>
      <w:r>
        <w:rPr>
          <w:rFonts w:ascii="Times New Roman" w:hAnsi="Times New Roman" w:eastAsia="바탕체"/>
          <w:b w:val="0"/>
          <w:i w:val="0"/>
          <w:sz w:val="20"/>
        </w:rPr>
        <w:t xml:space="preserve">[11] Guo, C. and Berkhahn, F., "Entity embeddings of categorical variables," </w:t>
      </w:r>
      <w:r>
        <w:rPr>
          <w:rFonts w:ascii="Times New Roman" w:hAnsi="Times New Roman" w:eastAsia="바탕체"/>
          <w:b w:val="0"/>
          <w:i/>
          <w:sz w:val="20"/>
        </w:rPr>
        <w:t>arXiv preprint</w:t>
      </w:r>
      <w:r>
        <w:rPr>
          <w:rFonts w:ascii="Times New Roman" w:hAnsi="Times New Roman" w:eastAsia="바탕체"/>
          <w:b w:val="0"/>
          <w:i w:val="0"/>
          <w:sz w:val="20"/>
        </w:rPr>
        <w:t xml:space="preserve"> arXiv:1604.06737, 2016.</w:t>
      </w:r>
    </w:p>
    <w:p>
      <w:pPr>
        <w:spacing w:line="240" w:lineRule="auto" w:before="0" w:after="40"/>
        <w:jc w:val="left"/>
      </w:pPr>
      <w:r>
        <w:rPr>
          <w:rFonts w:ascii="Times New Roman" w:hAnsi="Times New Roman" w:eastAsia="바탕체"/>
          <w:b w:val="0"/>
          <w:i w:val="0"/>
          <w:sz w:val="20"/>
        </w:rPr>
        <w:t xml:space="preserve">[12] Cai, Z. and Vasconcelos, N., "Cascade R-CNN: Delving into high quality object detection," in </w:t>
      </w:r>
      <w:r>
        <w:rPr>
          <w:rFonts w:ascii="Times New Roman" w:hAnsi="Times New Roman" w:eastAsia="바탕체"/>
          <w:b w:val="0"/>
          <w:i/>
          <w:sz w:val="20"/>
        </w:rPr>
        <w:t>Proc. IEEE/CVF Conf. on Computer Vision and Pattern Recognition (CVPR)</w:t>
      </w:r>
      <w:r>
        <w:rPr>
          <w:rFonts w:ascii="Times New Roman" w:hAnsi="Times New Roman" w:eastAsia="바탕체"/>
          <w:b w:val="0"/>
          <w:i w:val="0"/>
          <w:sz w:val="20"/>
        </w:rPr>
        <w:t>, pp. 6154-6162, 2018.</w:t>
      </w:r>
    </w:p>
    <w:p>
      <w:pPr>
        <w:spacing w:line="240" w:lineRule="auto" w:before="0" w:after="40"/>
        <w:jc w:val="left"/>
      </w:pPr>
      <w:r>
        <w:rPr>
          <w:rFonts w:ascii="Times New Roman" w:hAnsi="Times New Roman" w:eastAsia="바탕체"/>
          <w:b w:val="0"/>
          <w:i w:val="0"/>
          <w:sz w:val="20"/>
        </w:rPr>
        <w:t xml:space="preserve">[13] Shi, B. et al., "When do we not need larger vision models?," in </w:t>
      </w:r>
      <w:r>
        <w:rPr>
          <w:rFonts w:ascii="Times New Roman" w:hAnsi="Times New Roman" w:eastAsia="바탕체"/>
          <w:b w:val="0"/>
          <w:i/>
          <w:sz w:val="20"/>
        </w:rPr>
        <w:t>Proc. European Conf. on Computer Vision (ECCV)</w:t>
      </w:r>
      <w:r>
        <w:rPr>
          <w:rFonts w:ascii="Times New Roman" w:hAnsi="Times New Roman" w:eastAsia="바탕체"/>
          <w:b w:val="0"/>
          <w:i w:val="0"/>
          <w:sz w:val="20"/>
        </w:rPr>
        <w:t>, pp. 444-462, 2024.</w:t>
      </w:r>
    </w:p>
    <w:p>
      <w:pPr>
        <w:spacing w:line="240" w:lineRule="auto" w:before="0" w:after="40"/>
        <w:jc w:val="left"/>
      </w:pPr>
      <w:r>
        <w:rPr>
          <w:rFonts w:ascii="Times New Roman" w:hAnsi="Times New Roman" w:eastAsia="바탕체"/>
          <w:b w:val="0"/>
          <w:i w:val="0"/>
          <w:sz w:val="20"/>
        </w:rPr>
        <w:t xml:space="preserve">[14] Yun, S. et al., "CutMix: Regularization strategy to train strong classifiers with localizable features," in </w:t>
      </w:r>
      <w:r>
        <w:rPr>
          <w:rFonts w:ascii="Times New Roman" w:hAnsi="Times New Roman" w:eastAsia="바탕체"/>
          <w:b w:val="0"/>
          <w:i/>
          <w:sz w:val="20"/>
        </w:rPr>
        <w:t>Proc. IEEE/CVF Int. Conf. on Computer Vision (ICCV)</w:t>
      </w:r>
      <w:r>
        <w:rPr>
          <w:rFonts w:ascii="Times New Roman" w:hAnsi="Times New Roman" w:eastAsia="바탕체"/>
          <w:b w:val="0"/>
          <w:i w:val="0"/>
          <w:sz w:val="20"/>
        </w:rPr>
        <w:t>, pp. 6023-6032, 2019.</w:t>
      </w:r>
    </w:p>
    <w:p>
      <w:pPr>
        <w:spacing w:line="240" w:lineRule="auto" w:before="0" w:after="40"/>
        <w:jc w:val="left"/>
      </w:pPr>
      <w:r>
        <w:rPr>
          <w:rFonts w:ascii="Times New Roman" w:hAnsi="Times New Roman" w:eastAsia="바탕체"/>
          <w:b w:val="0"/>
          <w:i w:val="0"/>
          <w:sz w:val="20"/>
        </w:rPr>
        <w:t xml:space="preserve">[15] Lin, T.-Y. et al., "Focal loss for dense object detection," in </w:t>
      </w:r>
      <w:r>
        <w:rPr>
          <w:rFonts w:ascii="Times New Roman" w:hAnsi="Times New Roman" w:eastAsia="바탕체"/>
          <w:b w:val="0"/>
          <w:i/>
          <w:sz w:val="20"/>
        </w:rPr>
        <w:t>Proc. IEEE Int. Conf. on Computer Vision (ICCV)</w:t>
      </w:r>
      <w:r>
        <w:rPr>
          <w:rFonts w:ascii="Times New Roman" w:hAnsi="Times New Roman" w:eastAsia="바탕체"/>
          <w:b w:val="0"/>
          <w:i w:val="0"/>
          <w:sz w:val="20"/>
        </w:rPr>
        <w:t>, pp. 2980-2988, 2017.</w:t>
      </w:r>
    </w:p>
    <w:p>
      <w:pPr>
        <w:spacing w:line="240" w:lineRule="auto" w:before="0" w:after="40"/>
        <w:jc w:val="left"/>
      </w:pPr>
      <w:r>
        <w:rPr>
          <w:rFonts w:ascii="Times New Roman" w:hAnsi="Times New Roman" w:eastAsia="바탕체"/>
          <w:b w:val="0"/>
          <w:i w:val="0"/>
          <w:sz w:val="20"/>
        </w:rPr>
        <w:t xml:space="preserve">[16] Ridnik, T. et al., "Asymmetric loss for multi-label classification," in </w:t>
      </w:r>
      <w:r>
        <w:rPr>
          <w:rFonts w:ascii="Times New Roman" w:hAnsi="Times New Roman" w:eastAsia="바탕체"/>
          <w:b w:val="0"/>
          <w:i/>
          <w:sz w:val="20"/>
        </w:rPr>
        <w:t>Proc. IEEE/CVF Int. Conf. on Computer Vision (ICCV)</w:t>
      </w:r>
      <w:r>
        <w:rPr>
          <w:rFonts w:ascii="Times New Roman" w:hAnsi="Times New Roman" w:eastAsia="바탕체"/>
          <w:b w:val="0"/>
          <w:i w:val="0"/>
          <w:sz w:val="20"/>
        </w:rPr>
        <w:t>, pp. 82-91, 2021.</w:t>
      </w:r>
    </w:p>
    <w:p>
      <w:pPr>
        <w:spacing w:line="240" w:lineRule="auto" w:before="0" w:after="40"/>
        <w:jc w:val="left"/>
      </w:pPr>
      <w:r>
        <w:rPr>
          <w:rFonts w:ascii="Times New Roman" w:hAnsi="Times New Roman" w:eastAsia="바탕체"/>
          <w:b w:val="0"/>
          <w:i w:val="0"/>
          <w:sz w:val="20"/>
        </w:rPr>
        <w:t xml:space="preserve">[17] Hinton, G. et al., "Distilling the knowledge in a neural network," </w:t>
      </w:r>
      <w:r>
        <w:rPr>
          <w:rFonts w:ascii="Times New Roman" w:hAnsi="Times New Roman" w:eastAsia="바탕체"/>
          <w:b w:val="0"/>
          <w:i/>
          <w:sz w:val="20"/>
        </w:rPr>
        <w:t>arXiv preprint</w:t>
      </w:r>
      <w:r>
        <w:rPr>
          <w:rFonts w:ascii="Times New Roman" w:hAnsi="Times New Roman" w:eastAsia="바탕체"/>
          <w:b w:val="0"/>
          <w:i w:val="0"/>
          <w:sz w:val="20"/>
        </w:rPr>
        <w:t xml:space="preserve"> arXiv:1503.02531, 2015.</w:t>
      </w:r>
    </w:p>
    <w:p>
      <w:pPr>
        <w:spacing w:line="240" w:lineRule="auto" w:before="0" w:after="40"/>
        <w:jc w:val="left"/>
      </w:pPr>
      <w:r>
        <w:rPr>
          <w:rFonts w:ascii="Times New Roman" w:hAnsi="Times New Roman" w:eastAsia="바탕체"/>
          <w:b w:val="0"/>
          <w:i w:val="0"/>
          <w:sz w:val="20"/>
        </w:rPr>
        <w:t xml:space="preserve">[18] Lee, H. et al., "Classification of chip-level defect types in wafer bin maps using only wafer-level labels," </w:t>
      </w:r>
      <w:r>
        <w:rPr>
          <w:rFonts w:ascii="Times New Roman" w:hAnsi="Times New Roman" w:eastAsia="바탕체"/>
          <w:b w:val="0"/>
          <w:i/>
          <w:sz w:val="20"/>
        </w:rPr>
        <w:t>J. Manuf. Sci. Eng.</w:t>
      </w:r>
      <w:r>
        <w:rPr>
          <w:rFonts w:ascii="Times New Roman" w:hAnsi="Times New Roman" w:eastAsia="바탕체"/>
          <w:b w:val="0"/>
          <w:i w:val="0"/>
          <w:sz w:val="20"/>
        </w:rPr>
        <w:t xml:space="preserve">, Vol. </w:t>
      </w:r>
      <w:r>
        <w:rPr>
          <w:rFonts w:ascii="Times New Roman" w:hAnsi="Times New Roman" w:eastAsia="바탕체"/>
          <w:b/>
          <w:i w:val="0"/>
          <w:sz w:val="20"/>
        </w:rPr>
        <w:t>146</w:t>
      </w:r>
      <w:r>
        <w:rPr>
          <w:rFonts w:ascii="Times New Roman" w:hAnsi="Times New Roman" w:eastAsia="바탕체"/>
          <w:b w:val="0"/>
          <w:i w:val="0"/>
          <w:sz w:val="20"/>
        </w:rPr>
        <w:t>, no. 7, 2024.</w:t>
      </w:r>
    </w:p>
    <w:p>
      <w:pPr>
        <w:spacing w:line="240" w:lineRule="auto" w:before="0" w:after="40"/>
        <w:jc w:val="left"/>
      </w:pPr>
      <w:r>
        <w:rPr>
          <w:rFonts w:ascii="Times New Roman" w:hAnsi="Times New Roman" w:eastAsia="바탕체"/>
          <w:b w:val="0"/>
          <w:i w:val="0"/>
          <w:sz w:val="20"/>
        </w:rPr>
        <w:t xml:space="preserve">[19] Kyeong, K. and Kim, H., "Classification of mixed-type defect patterns in wafer bin maps using convolutional neural networks," </w:t>
      </w:r>
      <w:r>
        <w:rPr>
          <w:rFonts w:ascii="Times New Roman" w:hAnsi="Times New Roman" w:eastAsia="바탕체"/>
          <w:b w:val="0"/>
          <w:i/>
          <w:sz w:val="20"/>
        </w:rPr>
        <w:t>IEEE Trans. Semicond. Manuf.</w:t>
      </w:r>
      <w:r>
        <w:rPr>
          <w:rFonts w:ascii="Times New Roman" w:hAnsi="Times New Roman" w:eastAsia="바탕체"/>
          <w:b w:val="0"/>
          <w:i w:val="0"/>
          <w:sz w:val="20"/>
        </w:rPr>
        <w:t xml:space="preserve">, Vol. </w:t>
      </w:r>
      <w:r>
        <w:rPr>
          <w:rFonts w:ascii="Times New Roman" w:hAnsi="Times New Roman" w:eastAsia="바탕체"/>
          <w:b/>
          <w:i w:val="0"/>
          <w:sz w:val="20"/>
        </w:rPr>
        <w:t>31</w:t>
      </w:r>
      <w:r>
        <w:rPr>
          <w:rFonts w:ascii="Times New Roman" w:hAnsi="Times New Roman" w:eastAsia="바탕체"/>
          <w:b w:val="0"/>
          <w:i w:val="0"/>
          <w:sz w:val="20"/>
        </w:rPr>
        <w:t>, no. 3, pp. 395-402, 2018.</w:t>
      </w:r>
    </w:p>
    <w:p>
      <w:pPr>
        <w:spacing w:line="240" w:lineRule="auto" w:before="0" w:after="40"/>
        <w:jc w:val="left"/>
      </w:pPr>
      <w:r>
        <w:rPr>
          <w:rFonts w:ascii="Times New Roman" w:hAnsi="Times New Roman" w:eastAsia="바탕체"/>
          <w:b w:val="0"/>
          <w:i w:val="0"/>
          <w:sz w:val="20"/>
        </w:rPr>
        <w:t xml:space="preserve">[20] Shin, J.-S. et al., "Enhanced detection of unknown defect patterns on wafer bin maps based on an open-set recognition approach," </w:t>
      </w:r>
      <w:r>
        <w:rPr>
          <w:rFonts w:ascii="Times New Roman" w:hAnsi="Times New Roman" w:eastAsia="바탕체"/>
          <w:b w:val="0"/>
          <w:i/>
          <w:sz w:val="20"/>
        </w:rPr>
        <w:t>Comput. Ind.</w:t>
      </w:r>
      <w:r>
        <w:rPr>
          <w:rFonts w:ascii="Times New Roman" w:hAnsi="Times New Roman" w:eastAsia="바탕체"/>
          <w:b w:val="0"/>
          <w:i w:val="0"/>
          <w:sz w:val="20"/>
        </w:rPr>
        <w:t xml:space="preserve">, Vol. </w:t>
      </w:r>
      <w:r>
        <w:rPr>
          <w:rFonts w:ascii="Times New Roman" w:hAnsi="Times New Roman" w:eastAsia="바탕체"/>
          <w:b/>
          <w:i w:val="0"/>
          <w:sz w:val="20"/>
        </w:rPr>
        <w:t>155</w:t>
      </w:r>
      <w:r>
        <w:rPr>
          <w:rFonts w:ascii="Times New Roman" w:hAnsi="Times New Roman" w:eastAsia="바탕체"/>
          <w:b w:val="0"/>
          <w:i w:val="0"/>
          <w:sz w:val="20"/>
        </w:rPr>
        <w:t>, 2024.</w:t>
      </w:r>
    </w:p>
    <w:p>
      <w:pPr>
        <w:spacing w:line="240" w:lineRule="auto" w:before="0" w:after="40"/>
        <w:jc w:val="left"/>
      </w:pPr>
      <w:r>
        <w:rPr>
          <w:rFonts w:ascii="Times New Roman" w:hAnsi="Times New Roman" w:eastAsia="바탕체"/>
          <w:b w:val="0"/>
          <w:i w:val="0"/>
          <w:sz w:val="20"/>
        </w:rPr>
        <w:t xml:space="preserve">[21] Baek, I. and Kim, S. B., "Contrastive deep clustering for detecting new defect patterns in wafer bin maps," </w:t>
      </w:r>
      <w:r>
        <w:rPr>
          <w:rFonts w:ascii="Times New Roman" w:hAnsi="Times New Roman" w:eastAsia="바탕체"/>
          <w:b w:val="0"/>
          <w:i/>
          <w:sz w:val="20"/>
        </w:rPr>
        <w:t>Int. J. Adv. Manuf. Technol.</w:t>
      </w:r>
      <w:r>
        <w:rPr>
          <w:rFonts w:ascii="Times New Roman" w:hAnsi="Times New Roman" w:eastAsia="바탕체"/>
          <w:b w:val="0"/>
          <w:i w:val="0"/>
          <w:sz w:val="20"/>
        </w:rPr>
        <w:t xml:space="preserve">, Vol. </w:t>
      </w:r>
      <w:r>
        <w:rPr>
          <w:rFonts w:ascii="Times New Roman" w:hAnsi="Times New Roman" w:eastAsia="바탕체"/>
          <w:b/>
          <w:i w:val="0"/>
          <w:sz w:val="20"/>
        </w:rPr>
        <w:t>130</w:t>
      </w:r>
      <w:r>
        <w:rPr>
          <w:rFonts w:ascii="Times New Roman" w:hAnsi="Times New Roman" w:eastAsia="바탕체"/>
          <w:b w:val="0"/>
          <w:i w:val="0"/>
          <w:sz w:val="20"/>
        </w:rPr>
        <w:t>, pp. 3561-3571, 2024.</w:t>
      </w:r>
    </w:p>
    <w:p>
      <w:pPr>
        <w:spacing w:line="240" w:lineRule="auto" w:before="0" w:after="40"/>
        <w:jc w:val="left"/>
      </w:pPr>
      <w:r>
        <w:rPr>
          <w:rFonts w:ascii="Times New Roman" w:hAnsi="Times New Roman" w:eastAsia="바탕체"/>
          <w:b w:val="0"/>
          <w:i w:val="0"/>
          <w:sz w:val="20"/>
        </w:rPr>
        <w:t>[22] Jocher, G. and Qiu, J., "Ultralytics YOLO11," 2024.</w:t>
      </w:r>
    </w:p>
    <w:sectPr w:rsidR="00FC693F" w:rsidRPr="0006063C" w:rsidSect="00034616">
      <w:headerReference w:type="default" r:id="rId11"/>
      <w:footerReference w:type="default" r:id="rId12"/>
      <w:headerReference w:type="first" r:id="rId13"/>
      <w:footerReference w:type="first" r:id="rId14"/>
      <w:type w:val="continuous"/>
      <w:pgSz w:w="11906" w:h="16838"/>
      <w:pgMar w:top="850" w:right="850" w:bottom="850" w:left="850" w:header="567" w:footer="283" w:gutter="0"/>
      <w:cols w:space="283" w:num="2"/>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eastAsia="바탕체"/>
        <w:b w:val="0"/>
        <w:i w:val="0"/>
        <w:sz w:val="18"/>
      </w:rPr>
      <w:t>1 메모리사업부 메모리제조기술센터 QIE그룹, Samsung Electronics</w:t>
      <w:br/>
      <w:t>2 메모리사업부 메모리제조기술센터 DRAM YE팀, Samsung Electronics</w:t>
    </w:r>
  </w:p>
  <w:p>
    <w:pPr>
      <w:jc w:val="center"/>
    </w:pP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PAGE</w:instrTex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eastAsia="바탕체"/>
        <w:b w:val="0"/>
        <w:i w:val="0"/>
        <w:sz w:val="18"/>
      </w:rPr>
      <w:t>1 메모리사업부 메모리제조기술센터 QIE그룹, Samsung Electronics</w:t>
      <w:br/>
      <w:t>2 메모리사업부 메모리제조기술센터 DRAM YE팀, Samsung Electronics</w:t>
    </w:r>
  </w:p>
  <w:p>
    <w:pP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eastAsia="바탕체"/>
        <w:b/>
        <w:i w:val="0"/>
        <w:sz w:val="24"/>
      </w:rPr>
      <w:t>Samsung Best Paper Awards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Microsoft Word</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Samsung Electronics</ns0:Company>
  <ns0:LinksUpToDate>false</ns0:LinksUpToDate>
  <ns0:CharactersWithSpaces>0</ns0:CharactersWithSpaces>
  <ns0:SharedDoc>false</ns0:SharedDoc>
  <ns0:HyperlinkBase/>
  <ns0:HyperlinksChanged>false</ns0:HyperlinksChanged>
  <ns0:AppVersion>14.0000</ns0:AppVersion>
</ns0: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좌표 보존형 Failbit Map 기반 반도체 웨이퍼·칩 불량 분석 파이프라인</dc:title>
  <dc:subject>Samsung Best Paper Awards full paper</dc:subject>
  <dc:creator>최호길, 홍지훈, 김성호</dc:creator>
  <cp:keywords>Failbit Map; Known Defect; Unknown Defect; Object-id Map; HDBSCAN</cp:keywords>
  <dc:description>Samsung Best Paper Awards full-paper submission candidate.</dc:description>
  <cp:lastModifiedBy>최호길, 홍지훈, 김성호</cp:lastModifiedBy>
  <cp:revision>1</cp:revision>
  <dcterms:created xsi:type="dcterms:W3CDTF">2026-06-06T00:00:00Z</dcterms:created>
  <dcterms:modified xsi:type="dcterms:W3CDTF">2026-06-06T00:00:00Z</dcterms:modified>
  <cp:category>Samsung Best Paper Awards</cp:category>
</cp:coreProperties>
</file>