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데이터 파이프라인을 구축하고, Known 불량은 2-stage supervised classification으로, Unknown 불량은 self-supervised로 검출하는 아키텍처를 구현하였다. 데이터는 Cython 적용으로 변환 속도를 약 100배 향상시켰고, 이미지는 Palette PNG 적용으로 용량을 약 75% 절감하였다. Known 불량 분류는 ConvNeXtV2 기반 1차 분류와 저신뢰 샘플에 대한 ROI(Region of Interest) 기반 YOLO 2차 분류를 결합한 구조로 설계하였으며, F1-score 0.95를 달성하였다. Unknown 불량 검출은 레이블 없이 SimCLR 계열 모델에 wafer의 zone 기반 불량 해석 특성을 반영하기 위해 grid structured local sampling을 적용하여 대조학습을 수행하였다. 양산 5일치 Failbit Map 10,000장 학습 후 1일치 2,000장 적용 시 13개 불량 그룹이 검출되었고, 이 중 7개가 현업 엔지니어 검증에서 실제 불량 그룹으로 판정되어 현업 적용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이는 불량의 위치와 형태를 반영하는 초고해상도 데이터이다. 현업의 Measure 기반 분석만으로는 이러한 정보를 확인할 수 없어 Failbit Map의 전수 분석이 필요하다.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after="40"/>
        <w:ind w:firstLine="283"/>
      </w:pPr>
      <w:r>
        <w:rPr>
          <w:rFonts w:ascii="Times New Roman" w:hAnsi="Times New Roman" w:eastAsia="바탕체"/>
          <w:b w:val="0"/>
          <w:i w:val="0"/>
          <w:sz w:val="20"/>
        </w:rPr>
        <w:t>본 아키텍처는 데이터 파이프라인, Known 2-stage 분류기, Unknown self-supervised 검출기로 구성되며, 전용 분석 Web App[1]으로 배포되었다.</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데이터 파이프라인은 설비 Raw Log를 실시간 적재해 1시간 주기로 Failbit Map을 생성하도록 설계하였다. 핵심 병목은 wafer당 약 1,000만 개 test result의 hex-to-grade 변환 속도와 이미지 저장 용량이며, 전자는 Cython으로 약 100배 향상시켰고(Fig. 1), 후자는 palette-indexed PNG로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ConvNeXtV2[2]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ROI 영역 내 불량 chip의 형태와 출현 패턴을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MaxViT[3]와 ConvNeXtV2 (Ref)는 동일한 test Weighted F1 0.87을 보였으나, ConvNeXtV2는 파라미터 수 약 26% 감소(119.5M → 88.6M)와 FLOPs 약 39% 감소(74.2G → 45.1G)로 더 효율적이라 최종 backbone으로 선정하였다. 이는 하루 약 2만 장 이상의 Wafer Failbit Map이 발생하는 운영 환경을 고려한 선택이다. 이후 Optuna를 통해 lr, weight decay, focal loss, class weight 등을 최적화하여 test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SimCLR[4] 계열 모델에 wafer의 zone 기반 불량 해석 특성을 반영하기 위해 grid structured local sampling을 적용하여 대조학습을 수행하였고, 별도 1일치 2,000장에 HDBSCAN[5]을 적용하여 유사 패턴을 그룹화하였다.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전수 생성과 자동 불량 분석을 위한 통합 아키텍처를 구현하였다. Cython 최적화와 palette-indexed PNG로 대량 Map을 생성하였고, Known 2-stage 분류와 Unknown self-supervised 검출을 결합하여 자동화 및 고도화하였다.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FBM, https://www.failbitmap.com</w:t>
      </w:r>
    </w:p>
    <w:p>
      <w:pPr>
        <w:spacing w:line="240" w:lineRule="auto" w:after="20"/>
        <w:ind w:left="283" w:hanging="283"/>
      </w:pPr>
      <w:r>
        <w:rPr>
          <w:rFonts w:ascii="Times New Roman" w:hAnsi="Times New Roman" w:eastAsia="바탕체"/>
          <w:b w:val="0"/>
          <w:i w:val="0"/>
          <w:sz w:val="18"/>
        </w:rPr>
        <w:t>[2]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[3]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[4]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[5] R. J. G. B. Campello, D. Moulavi, and J. Sander, "Density-Based Clustering Based on Hierarchical Density Estimates," in Advances in Knowledge Discovery and Data Mining,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