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40"/>
        <w:jc w:val="left"/>
      </w:pPr>
      <w:r>
        <w:rPr>
          <w:rFonts w:ascii="Times New Roman" w:hAnsi="Times New Roman" w:eastAsia="바탕체"/>
          <w:b/>
          <w:i w:val="0"/>
          <w:sz w:val="20"/>
        </w:rPr>
        <w:t>(Abstract)</w:t>
      </w:r>
      <w:r>
        <w:rPr>
          <w:rFonts w:ascii="Times New Roman" w:hAnsi="Times New Roman"/>
          <w:b/>
          <w:sz w:val="20"/>
        </w:rPr>
        <w:t xml:space="preserve">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has been impractical, and even limited analysis has depended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image size was reduced by about 75% through Palette PNG. For Known defects, a ConvNeXtV2-based first-stage classifier was combined with a second-stage ROI (Region of Interest)-based YOLO classifier for low-confidence samples, achieving an F1-score of 0.95. For Unknown defects, a SimCLR-family model was trained without labels, and contrastive learning was performed with grid structured local sampling to reflect wafer zone-based defect interpretation. After training on 10,000 Failbit Maps collected over five production days, application to 2,000 maps from an additional day detected 13 defect groups, and 7 were confirmed as real defect groups by domain engineers,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6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60"/>
        <w:ind w:firstLine="283"/>
      </w:pPr>
      <w:r>
        <w:rPr>
          <w:rFonts w:ascii="Times New Roman" w:hAnsi="Times New Roman" w:eastAsia="바탕체"/>
          <w:b w:val="0"/>
          <w:i w:val="0"/>
          <w:sz w:val="20"/>
        </w:rPr>
        <w:t>Two limitations have prevented practical deployment. First, the existing system did not have sufficient processing performance to transform equipment logs into large numbers of Failbit Maps and to store and browse them at scale. Equipment logs are typically 10 to 50 MB per wafer, and some products generate about 2,000 wafers per day. Under the previous environment, large-volume processing was limited by speed and memory constraints, and the number of maps that could be checked at once was restricted to about 48. Second, even when maps were generated, defect judgment and type identification still depended on manual inspection by engineers, making full analysis difficult. To address these limitations, this paper proposes an integrated analysis architecture composed of a data pipeline for continuously generating, storing, and serving large volumes of Failbit Maps from raw data, a two-stage supervised framework for Known defects, and a self-supervised framework for Unknown defects. The main contributions are as follows.</w:t>
      </w:r>
    </w:p>
    <w:p>
      <w:pPr>
        <w:spacing w:line="240" w:lineRule="auto" w:after="60"/>
        <w:ind w:firstLine="283"/>
      </w:pPr>
      <w:r>
        <w:rPr>
          <w:rFonts w:ascii="Times New Roman" w:hAnsi="Times New Roman" w:eastAsia="바탕체"/>
          <w:b w:val="0"/>
          <w:i w:val="0"/>
          <w:sz w:val="20"/>
        </w:rPr>
        <w:t>First, we implemented a data-processing foundation capable of real-time ingestion of large equipment logs and hourly Failbit Map generation, enabling sustained large-scale map creation and operational use. Second, for Known defects, we used ConvNeXt V2 to classify, in the first stage, the types and distribution patterns of defective chips at the wafer level, then applied ROI-based YOLO to samples prone to confusion because of similar distribution patterns for chip object detection and second-stage refinement. Third, for newly emerging defects not registered in the existing taxonomy, we implemented a SimCLR-family contrastive-learning framework for Unknown defect discovery. In addition, grid structured local sampling was introduced to also encode spatial occurrence information, enabling more precise Unknown defect detection.</w:t>
      </w:r>
    </w:p>
    <w:p>
      <w:pPr>
        <w:spacing w:line="240" w:lineRule="auto" w:before="200" w:after="200"/>
      </w:pPr>
      <w:r>
        <w:rPr>
          <w:rFonts w:ascii="Times New Roman" w:hAnsi="Times New Roman" w:eastAsia="바탕체"/>
          <w:b/>
          <w:i w:val="0"/>
          <w:sz w:val="22"/>
        </w:rPr>
        <w:t>2. PROPOSED METHOD</w:t>
      </w:r>
    </w:p>
    <w:p>
      <w:pPr>
        <w:spacing w:line="240" w:lineRule="auto" w:after="6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application[1].</w:t>
      </w:r>
    </w:p>
    <w:p>
      <w:pPr>
        <w:spacing w:line="240" w:lineRule="auto" w:before="100" w:after="60"/>
      </w:pPr>
      <w:r>
        <w:rPr>
          <w:rFonts w:ascii="Times New Roman" w:hAnsi="Times New Roman" w:eastAsia="바탕체"/>
          <w:b/>
          <w:i w:val="0"/>
          <w:sz w:val="22"/>
        </w:rPr>
        <w:t>2.1 DATA PIPELINE</w:t>
      </w:r>
    </w:p>
    <w:p>
      <w:pPr>
        <w:spacing w:line="240" w:lineRule="auto" w:after="60"/>
        <w:ind w:firstLine="283"/>
      </w:pPr>
      <w:r>
        <w:rPr>
          <w:rFonts w:ascii="Times New Roman" w:hAnsi="Times New Roman" w:eastAsia="바탕체"/>
          <w:b w:val="0"/>
          <w:i w:val="0"/>
          <w:sz w:val="20"/>
        </w:rPr>
        <w:t>The data pipeline was designed to ingest equipment Raw Logs in real time and generate Failbit Maps on an hourly cycle. The main bottlenecks were the hex-to-grade conversion speed for roughly 10 million encoded test values per wafer and the storage of ultra-high-resolution images; the former was accelerated about 100x with Cython (Fig. 1), and the latter was reduced by about 75% with palette-indexed PNG (Fig.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and used 1,500 labeled Failbit Maps to design a two-stage structure combining a ConvNeXtV2[2]-based wafer-level first-stage classifier and a second-stage ROI (Region of Interest)-based YOLO for low-confidence samples.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a two-stage design was introduced in which ROI-based YOLO further inspects low-confidence samples and evaluates defect-chip morphology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MaxViT[3] and ConvNeXtV2 (Ref) achieved the same test Weighted F1 of 0.87, but ConvNeXtV2 was selected as the final backbone because it was more efficient, with about 26% fewer parameters (119.5M -&gt; 88.6M) and about 39% fewer FLOPs (74.2G -&gt; 45.1G). This choice reflects the operational environment in which more than 20,000 wafer Failbit Maps are generated per day. Optuna was then used to optimize fine-tuning hyperparameters such as learning rate, weight decay, focal loss, and class weight, improving test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Unknown defect discovery was defined as the task of grouping similar patterns and identifying candidate defect groups. Using 10,000 production maps from five days, contrastive learning was performed on a SimCLR[4]-family model by applying grid structured local sampling to reflect wafer zone-based defect interpretation, and HDBSCAN[5]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domain-engineer validation confirmed 7 of them as real defect groups. The remaining 6 groups were interpreted as lot-specific warning-level noise patterns or patterns that did not lead to actual chip defects.</w:t>
      </w:r>
    </w:p>
    <w:p>
      <w:pPr>
        <w:spacing w:line="240" w:lineRule="auto" w:before="200" w:after="200"/>
      </w:pPr>
      <w:r>
        <w:rPr>
          <w:rFonts w:ascii="Times New Roman" w:hAnsi="Times New Roman" w:eastAsia="바탕체"/>
          <w:b/>
          <w:i w:val="0"/>
          <w:sz w:val="22"/>
        </w:rPr>
        <w:t>3. CONCLUSION</w:t>
      </w:r>
    </w:p>
    <w:p>
      <w:pPr>
        <w:spacing w:line="240" w:lineRule="auto" w:after="60"/>
        <w:ind w:firstLine="283"/>
      </w:pPr>
      <w:r>
        <w:rPr>
          <w:rFonts w:ascii="Times New Roman" w:hAnsi="Times New Roman" w:eastAsia="바탕체"/>
          <w:b w:val="0"/>
          <w:i w:val="0"/>
          <w:sz w:val="20"/>
        </w:rPr>
        <w:t>This study implemented an integrated architecture for full Failbit Map generation and automated defect analysis. Cython optimization and palette-indexed PNG enabled large-scale map generation, while the combination of Known two-stage classification and Unknown self-supervised discovery automated and advanced the 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FBM, https://www.failbitmap.com</w:t>
      </w:r>
    </w:p>
    <w:p>
      <w:pPr>
        <w:spacing w:line="240" w:lineRule="auto" w:after="20"/>
        <w:ind w:left="283" w:hanging="283"/>
      </w:pPr>
      <w:r>
        <w:rPr>
          <w:rFonts w:ascii="Times New Roman" w:hAnsi="Times New Roman" w:eastAsia="바탕체"/>
          <w:b w:val="0"/>
          <w:i w:val="0"/>
          <w:sz w:val="18"/>
        </w:rPr>
        <w:t>[2]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[3]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[4]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[5]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