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32-color palette-indexed PNG 적용으로 용량을 약 75% 절감하였다.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 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적재되어 분석 Web App[5]을 통해 대량 조회가 가능하며, 이를 통해 엔지니어가 한 번에 수천 장 단위의 Map을 탐색·분석할 수 있는 운영 환경을 구축하였다.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이는 전 제품 기준 하루 약 2만 장 이상의 Wafer Failbit Map이 생성되는 운영 환경을 고려한 선택이다.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10,000장을 사용하여 SimCLR[3] 계열 모델을 대조학습하였으며, wafer의 zone 기반 불량 해석 특성을 반영하기 위해 grid 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