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조회 가능한 일부 Map의 분석조차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변환 속도는 Cython 적용으로 약 100배 향상되었고, 이미지 용량은 32-color palette-indexed PNG 적용으로 약 75% 절감되었다. Known 불량 분류는 ConvNeXtV2 기반 1차 분류와 저신뢰 샘플에 대한 ROI(Region of Interest) 기반 YOLO 2차 분류를 결합한 구조로 설계하였으며, weighted F1 0.95를 달성하였다. Unknown 불량 검출에서는 SimCLR 계열 모델에 대조학습을 적용하였으며, wafer의 zone 기반 불량 해석 특성을 반영하기 위해 grid-structured local sampling을 함께 적용하였다. 양산 5일치 Failbit Map 10,000장을 학습에 사용하고 별도 1일치 2,000장에 적용한 결과 13개 불량 그룹이 검출되었으며,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전 제품 기준 하루 약 2만 장의 Wafer가 생산되지만, 기존 환경에서는 속도와 메모리 제약으로 대량 처리가 어려웠고 엔지니어가 한 번에 조회·확인할 수 있는 수량도 48매 수준에 머물렀다. 둘째, 생성된 Map에 대한 불량 여부 및 유형 판정이 엔지니어의 수동 판독에 의존하여 전수 분석이 어려웠다. 본 논문은 이러한 한계를 해결하기 위해, 대량 Raw Data를 Failbit Map으로 생성·저장·조회하는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분류하도록 구성하였다. 셋째, 기존 분류 체계에 등록되지 않은 상태에서 새롭게 발생하는 Unknown 불량을 검출하기 위해 SimCLR 계열 contrastive learning 기반 분석 구조를 구현하였다. 또한 grid-structured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본 아키텍처는 데이터 파이프라인, Known 2-stage 분류기, Unknown self-supervised 검출기로 구성되며, 전용 분석 Web App[5]으로 배포되었다.</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데이터 파이프라인은 설비 Raw Log를 실시간 적재해 1시간 주기로 Failbit Map을 생성하도록 설계하였다. 핵심 병목은 wafer당 약 1,000만 개 test result의 hex-to-grade 변환 속도와 이미지 저장 용량이며, 전자는 Cython으로 약 100배 향상시켰고(Fig. 1), 후자는 32-color palette-indexed PNG로 약 75% 절감하였다(Fig. 2). 생성된 Map은 중앙 저장소에 적재되어 분석 Web App[5]을 통해 대량 조회가 가능하며, 이를 통해 엔지니어가 한 번에 수천 장 단위의 Map을 탐색·분석할 수 있는 운영 환경을 구축하였다.</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2단계에서는 1차 분류의 저신뢰 샘플에 ROI 기반 YOLO를 적용하여 ROI 영역 내 불량 chip의 형태와 출현 패턴을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weighted F1 0.87을 보였으나, ConvNeXtV2는 파라미터 수 약 26% 감소(119.5M → 88.6M)와 FLOPs 약 39% 감소(74.2G → 45.1G)로 더 효율적이라 최종 backbone으로 선정하였다. 이는 전 제품 기준 하루 약 2만 장 이상의 Wafer Failbit Map이 생성되는 운영 환경을 고려한 선택이다. 이후 Optuna를 통해 lr, weight decay, focal loss, class weight 등을 최적화하여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10,000장을 사용하여 SimCLR[3] 계열 모델을 대조학습하였으며, wafer의 zone 기반 불량 해석 특성을 반영하기 위해 grid-structured local sampling을 함께 적용하였다. 이후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일부 lot에 국한된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32-color palette-indexed PNG로 Failbit Map의 대량 생성과 저장·운영을 가능하게 하였고, Known 2-stage 분류와 Unknown self-supervised 검출을 결합하여 자동 분석 흐름을 구축하였다.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