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160"/>
        <w:jc w:val="center"/>
      </w:pPr>
      <w:r>
        <w:rPr>
          <w:rFonts w:ascii="Times New Roman" w:hAnsi="Times New Roman" w:eastAsia="바탕체"/>
          <w:b/>
          <w:i w:val="0"/>
          <w:sz w:val="40"/>
        </w:rPr>
        <w:t>Hybrid Failbit Map Analysis Architecture for Known Classification and Unknown Discovery</w:t>
      </w:r>
    </w:p>
    <w:p>
      <w:pPr>
        <w:spacing w:line="240" w:lineRule="auto" w:after="40"/>
        <w:jc w:val="center"/>
      </w:pPr>
      <w:r>
        <w:rPr>
          <w:rFonts w:ascii="Times New Roman" w:hAnsi="Times New Roman" w:eastAsia="바탕체"/>
          <w:b/>
          <w:i w:val="0"/>
          <w:sz w:val="24"/>
        </w:rPr>
        <w:t>Gildong Hong¹, Cheolsu Kim¹</w:t>
      </w:r>
    </w:p>
    <w:p>
      <w:pPr>
        <w:spacing w:line="240" w:lineRule="auto" w:after="120"/>
        <w:jc w:val="center"/>
      </w:pPr>
      <w:r>
        <w:rPr>
          <w:rFonts w:ascii="Times New Roman" w:hAnsi="Times New Roman" w:eastAsia="바탕체"/>
          <w:b w:val="0"/>
          <w:i w:val="0"/>
          <w:sz w:val="18"/>
        </w:rPr>
        <w:t>¹ Semiconductor Research Center, Samsung Electronics, Hwaseong-si, Republic of Korea</w:t>
      </w:r>
    </w:p>
    <w:p>
      <w:pPr>
        <w:spacing w:line="240" w:lineRule="auto" w:before="120" w:after="80"/>
        <w:jc w:val="left"/>
      </w:pPr>
      <w:r>
        <w:rPr>
          <w:rFonts w:ascii="Times New Roman" w:hAnsi="Times New Roman" w:eastAsia="바탕체"/>
          <w:b/>
          <w:i w:val="0"/>
          <w:sz w:val="20"/>
        </w:rPr>
        <w:t xml:space="preserve">(Abstract) </w:t>
      </w:r>
      <w:r>
        <w:rPr>
          <w:rFonts w:ascii="Times New Roman" w:hAnsi="Times New Roman" w:eastAsia="바탕체"/>
          <w:b/>
          <w:i w:val="0"/>
          <w:sz w:val="20"/>
        </w:rPr>
        <w:t>Failbit Maps are ultra-high-resolution data generated in semiconductor EDS tests, with roughly 10 million pixels per wafer, and are a key source for defect-pattern analysis. However, in practical operations, large-scale retrieval and inspection of Failbit Maps have been impractical, and even the limited analysis that was feasible relied heavily on manual inspection by engineers. This work addresses that limitation by building a large-scale Failbit Map data pipeline and implementing an architecture in which Known defects are handled by two-stage supervised classification and Unknown defects are discovered by self-supervised learning. Data transformation speed was improved by about 100x through Cython, while the image storage footprint was reduced by about 75% through a 32-color palette-indexed PNG. For Known defects, a ConvNeXtV2-based first-stage classifier was combined with a second-stage ROI (Region of Interest)-based YOLO classifier for low-confidence samples, achieving a weighted F1 of 0.95. For Unknown defects, a SimCLR-family model was trained with contrastive learning using grid-structured local sampling to reflect the zone-based nature of wafer defect interpretation. After training on 10,000 Failbit Maps collected over five production days, the model was applied to 2,000 maps from an additional day. It detected 13 defect groups, 7 of which were confirmed by domain engineers as real defect groups, demonstrating practical applicability in production.</w:t>
      </w:r>
    </w:p>
    <w:p>
      <w:pPr>
        <w:spacing w:line="240" w:lineRule="auto" w:after="80"/>
      </w:pPr>
      <w:r>
        <w:rPr>
          <w:rFonts w:ascii="Times New Roman" w:hAnsi="Times New Roman" w:eastAsia="바탕체"/>
          <w:b w:val="0"/>
          <w:i/>
          <w:sz w:val="18"/>
        </w:rPr>
        <w:t>Keywords: Failbit Map, Wafer Failure Analysis, ConvNeXtV2, YOLO, Contrastive Learning, HDBSCAN</w:t>
      </w:r>
    </w:p>
    <w:p>
      <w:pPr>
        <w:spacing w:before="0" w:after="0"/>
        <w:sectPr>
          <w:pgSz w:w="11906" w:h="16838"/>
          <w:pgMar w:top="1701" w:right="850" w:bottom="1417" w:left="850" w:header="720" w:footer="720" w:gutter="0"/>
          <w:docGrid w:linePitch="360"/>
          <w:cols w:num="1"/>
        </w:sectPr>
      </w:pPr>
      <w:r>
        <w:rPr>
          <w:sz w:val="2"/>
        </w:rPr>
      </w:r>
    </w:p>
    <w:p>
      <w:pPr>
        <w:spacing w:line="240" w:lineRule="auto" w:before="200" w:after="200"/>
      </w:pPr>
      <w:r>
        <w:rPr>
          <w:rFonts w:ascii="Times New Roman" w:hAnsi="Times New Roman" w:eastAsia="바탕체"/>
          <w:b/>
          <w:i w:val="0"/>
          <w:sz w:val="22"/>
        </w:rPr>
        <w:t>1. INTRODUCTION</w:t>
      </w:r>
    </w:p>
    <w:p>
      <w:pPr>
        <w:spacing w:line="240" w:lineRule="auto" w:after="40"/>
        <w:ind w:firstLine="283"/>
      </w:pPr>
      <w:r>
        <w:rPr>
          <w:rFonts w:ascii="Times New Roman" w:hAnsi="Times New Roman" w:eastAsia="바탕체"/>
          <w:b w:val="0"/>
          <w:i w:val="0"/>
          <w:sz w:val="20"/>
        </w:rPr>
        <w:t>A Failbit Map represents defect severity at the memory-cell-block level in EDS testing using grades from 0 to 7. Because a single wafer contains roughly 10 million blocks, it is an ultra-high-resolution representation of defect location and morphology. In current practice, Measure-based analysis alone cannot capture this information, making exhaustive Failbit Map analysis necessary.</w:t>
      </w:r>
    </w:p>
    <w:p>
      <w:pPr>
        <w:spacing w:line="240" w:lineRule="auto" w:after="40"/>
        <w:ind w:firstLine="283"/>
      </w:pPr>
      <w:r>
        <w:rPr>
          <w:rFonts w:ascii="Times New Roman" w:hAnsi="Times New Roman" w:eastAsia="바탕체"/>
          <w:b w:val="0"/>
          <w:i w:val="0"/>
          <w:sz w:val="20"/>
        </w:rPr>
        <w:t>Two limitations have hindered practical adoption in production. First, the existing system did not have sufficient processing performance to transform equipment logs into large numbers of Failbit Maps and to store and browse them at scale. Equipment logs are typically 10 to 50 MB per wafer, and roughly 20,000 wafers are produced per day across all products. Under the previous environment, large-volume processing was limited by speed and memory constraints, and the number of maps that could be checked at once was restricted to about 48. Second, even when maps were generated, defect judgment and type identification still depended on manual inspection by engineers, making full analysis difficult. To address these limitations, this paper proposes an integrated analysis architecture composed of a data pipeline for continuously generating, storing, and serving large volumes of Failbit Maps from raw data, a two-stage supervised framework for Known defects, and a self-supervised framework for Unknown defects. The main contributions are as follows.</w:t>
      </w:r>
    </w:p>
    <w:p>
      <w:pPr>
        <w:spacing w:line="240" w:lineRule="auto" w:after="40"/>
        <w:ind w:firstLine="283"/>
      </w:pPr>
      <w:r>
        <w:rPr>
          <w:rFonts w:ascii="Times New Roman" w:hAnsi="Times New Roman" w:eastAsia="바탕체"/>
          <w:b w:val="0"/>
          <w:i w:val="0"/>
          <w:sz w:val="20"/>
        </w:rPr>
        <w:t>First, we implemented a data-processing foundation capable of real-time ingestion of large equipment logs and hourly Failbit Map generation, enabling sustained large-scale map creation and operational use. Second, for Known defects, we used ConvNeXt V2 to classify wafer-level defect-chip distribution patterns in the first stage, and then applied ROI-based YOLO to perform chip-level object detection on samples prone to confusion due to similar distribution patterns, as a second-stage refinement. Third, for newly emerging defects not registered in the existing taxonomy, we implemented a SimCLR-family contrastive-learning framework for Unknown defect discovery. In addition, grid-structured local sampling was introduced to encode spatial occurrence information, enabling more precise Unknown defect detection.</w:t>
      </w:r>
    </w:p>
    <w:p>
      <w:pPr>
        <w:spacing w:line="240" w:lineRule="auto" w:before="200" w:after="200"/>
      </w:pPr>
      <w:r>
        <w:rPr>
          <w:rFonts w:ascii="Times New Roman" w:hAnsi="Times New Roman" w:eastAsia="바탕체"/>
          <w:b/>
          <w:i w:val="0"/>
          <w:sz w:val="22"/>
        </w:rPr>
        <w:t>2. PROPOSED METHOD</w:t>
      </w:r>
    </w:p>
    <w:p>
      <w:pPr>
        <w:spacing w:line="240" w:lineRule="auto" w:after="40"/>
        <w:ind w:firstLine="283"/>
      </w:pPr>
      <w:r>
        <w:rPr>
          <w:rFonts w:ascii="Times New Roman" w:hAnsi="Times New Roman" w:eastAsia="바탕체"/>
          <w:b w:val="0"/>
          <w:i w:val="0"/>
          <w:sz w:val="20"/>
        </w:rPr>
        <w:t>The architecture consists of a data pipeline, a two-stage Known classifier, and a self-supervised Unknown detector, deployed as a dedicated analysis web application[5].</w:t>
      </w:r>
    </w:p>
    <w:p>
      <w:pPr>
        <w:spacing w:line="240" w:lineRule="auto" w:before="100" w:after="60"/>
      </w:pPr>
      <w:r>
        <w:rPr>
          <w:rFonts w:ascii="Times New Roman" w:hAnsi="Times New Roman" w:eastAsia="바탕체"/>
          <w:b/>
          <w:i w:val="0"/>
          <w:sz w:val="22"/>
        </w:rPr>
        <w:t>2.1 DATA PIPELINE</w:t>
      </w:r>
    </w:p>
    <w:p>
      <w:pPr>
        <w:spacing w:line="240" w:lineRule="auto" w:after="40"/>
        <w:ind w:firstLine="283"/>
      </w:pPr>
      <w:r>
        <w:rPr>
          <w:rFonts w:ascii="Times New Roman" w:hAnsi="Times New Roman" w:eastAsia="바탕체"/>
          <w:b w:val="0"/>
          <w:i w:val="0"/>
          <w:sz w:val="20"/>
        </w:rPr>
        <w:t>The data pipeline was designed to ingest equipment raw logs in real time and generate Failbit Maps on an hourly basis. The main bottlenecks were the hex-to-grade conversion speed for roughly 10 million encoded test values per wafer and the storage footprint of the resulting images; the former was accelerated by about 100x with Cython (Fig. 1), and the latter was reduced by about 75% with a 32-color palette-indexed PNG (Fig. 2). Generated maps are stored in a central repository and served through the analysis web application[5], enabling engineers to browse and analyze thousands of maps per session, a scale that was previously infeasible.</w:t>
      </w:r>
    </w:p>
    <w:p>
      <w:pPr>
        <w:spacing w:before="0" w:after="0"/>
      </w:pPr>
      <w:r>
        <w:rPr>
          <w:sz w:val="8"/>
        </w:rPr>
      </w:r>
    </w:p>
    <w:tbl>
      <w:tblPr>
        <w:tblStyle w:val="TableGrid"/>
        <w:tblW w:type="auto" w:w="0"/>
        <w:tblLayout w:type="autofit"/>
        <w:tblLook w:firstColumn="1" w:firstRow="1" w:lastColumn="0" w:lastRow="0" w:noHBand="0" w:noVBand="1" w:val="04A0"/>
      </w:tblPr>
      <w:tblGrid>
        <w:gridCol w:w="10206"/>
      </w:tblGrid>
      <w:tr>
        <w:tc>
          <w:tcPr>
            <w:tcW w:type="dxa" w:w="10206"/>
          </w:tcPr>
          <w:p>
            <w:pPr>
              <w:spacing w:before="0" w:after="0"/>
            </w:pPr>
            <w:r>
              <w:rPr>
                <w:sz w:val="4"/>
              </w:rPr>
            </w:r>
          </w:p>
          <w:p>
            <w:pPr>
              <w:spacing w:line="240" w:lineRule="auto" w:before="0" w:after="40"/>
              <w:jc w:val="center"/>
            </w:pPr>
            <w:r>
              <w:rPr>
                <w:rFonts w:ascii="Times New Roman" w:hAnsi="Times New Roman" w:eastAsia="바탕체"/>
                <w:b/>
                <w:i w:val="0"/>
                <w:sz w:val="20"/>
              </w:rPr>
              <w:t>Hex-to-grade conversion</w:t>
            </w:r>
          </w:p>
          <w:p>
            <w:pPr>
              <w:spacing w:line="240" w:lineRule="auto" w:before="0" w:after="0"/>
              <w:ind w:left="198"/>
              <w:jc w:val="left"/>
            </w:pPr>
            <w:r>
              <w:rPr>
                <w:rFonts w:ascii="Times New Roman" w:hAnsi="Times New Roman" w:eastAsia="바탕체"/>
                <w:b w:val="0"/>
                <w:i/>
                <w:sz w:val="20"/>
              </w:rPr>
              <w:t>Raw:</w:t>
            </w:r>
          </w:p>
          <w:p>
            <w:pPr>
              <w:spacing w:line="240" w:lineRule="auto" w:before="0" w:after="20"/>
              <w:ind w:left="482"/>
              <w:jc w:val="left"/>
            </w:pPr>
            <w:r>
              <w:rPr>
                <w:rFonts w:ascii="Times New Roman" w:hAnsi="Times New Roman" w:eastAsia="바탕체"/>
                <w:b w:val="0"/>
                <w:i/>
                <w:sz w:val="20"/>
              </w:rPr>
              <w:t>090B0C0D0E0F090A0B0C</w:t>
            </w:r>
          </w:p>
          <w:p>
            <w:pPr>
              <w:spacing w:line="240" w:lineRule="auto" w:before="0" w:after="0"/>
              <w:ind w:left="198"/>
              <w:jc w:val="left"/>
            </w:pPr>
            <w:r>
              <w:rPr>
                <w:rFonts w:ascii="Times New Roman" w:hAnsi="Times New Roman" w:eastAsia="바탕체"/>
                <w:b w:val="0"/>
                <w:i/>
                <w:sz w:val="20"/>
              </w:rPr>
              <w:t>Decoding:</w:t>
            </w:r>
          </w:p>
          <w:p>
            <w:pPr>
              <w:spacing w:line="240" w:lineRule="auto" w:before="0" w:after="20"/>
              <w:ind w:left="482"/>
              <w:jc w:val="left"/>
            </w:pPr>
            <w:r>
              <w:rPr>
                <w:rFonts w:ascii="Times New Roman" w:hAnsi="Times New Roman" w:eastAsia="바탕체"/>
                <w:b w:val="0"/>
                <w:i/>
                <w:sz w:val="20"/>
              </w:rPr>
              <w:t>"0C" -&gt; "C" -&gt; 12 (hex to decimal) -&gt; 3</w:t>
            </w:r>
          </w:p>
          <w:p>
            <w:pPr>
              <w:spacing w:line="240" w:lineRule="auto" w:before="0" w:after="0"/>
              <w:ind w:left="198"/>
              <w:jc w:val="left"/>
            </w:pPr>
            <w:r>
              <w:rPr>
                <w:rFonts w:ascii="Times New Roman" w:hAnsi="Times New Roman" w:eastAsia="바탕체"/>
                <w:b w:val="0"/>
                <w:i/>
                <w:sz w:val="20"/>
              </w:rPr>
              <w:t>Python:</w:t>
            </w:r>
          </w:p>
          <w:p>
            <w:pPr>
              <w:spacing w:line="240" w:lineRule="auto" w:before="0" w:after="20"/>
              <w:ind w:left="482"/>
              <w:jc w:val="left"/>
            </w:pPr>
            <w:r>
              <w:rPr>
                <w:rFonts w:ascii="Times New Roman" w:hAnsi="Times New Roman" w:eastAsia="바탕체"/>
                <w:b w:val="0"/>
                <w:i/>
                <w:sz w:val="20"/>
              </w:rPr>
              <w:t>interpreter-based loop execution</w:t>
            </w:r>
          </w:p>
          <w:p>
            <w:pPr>
              <w:spacing w:line="240" w:lineRule="auto" w:before="0" w:after="0"/>
              <w:ind w:left="198"/>
              <w:jc w:val="left"/>
            </w:pPr>
            <w:r>
              <w:rPr>
                <w:rFonts w:ascii="Times New Roman" w:hAnsi="Times New Roman" w:eastAsia="바탕체"/>
                <w:b w:val="0"/>
                <w:i/>
                <w:sz w:val="20"/>
              </w:rPr>
              <w:t>Cython:</w:t>
            </w:r>
          </w:p>
          <w:p>
            <w:pPr>
              <w:spacing w:line="240" w:lineRule="auto" w:before="0" w:after="20"/>
              <w:ind w:left="482"/>
              <w:jc w:val="left"/>
            </w:pPr>
            <w:r>
              <w:rPr>
                <w:rFonts w:ascii="Times New Roman" w:hAnsi="Times New Roman" w:eastAsia="바탕체"/>
                <w:b w:val="0"/>
                <w:i/>
                <w:sz w:val="20"/>
              </w:rPr>
              <w:t>compiled integer loop execution</w:t>
            </w:r>
          </w:p>
          <w:p>
            <w:pPr>
              <w:spacing w:line="240" w:lineRule="auto" w:before="0" w:after="0"/>
              <w:ind w:left="198"/>
              <w:jc w:val="left"/>
            </w:pPr>
            <w:r>
              <w:rPr>
                <w:rFonts w:ascii="Times New Roman" w:hAnsi="Times New Roman" w:eastAsia="바탕체"/>
                <w:b w:val="0"/>
                <w:i/>
                <w:sz w:val="20"/>
              </w:rPr>
              <w:t>Grade:</w:t>
            </w:r>
          </w:p>
          <w:p>
            <w:pPr>
              <w:spacing w:line="240" w:lineRule="auto" w:before="0" w:after="20"/>
              <w:ind w:left="482"/>
              <w:jc w:val="left"/>
            </w:pPr>
            <w:r>
              <w:rPr>
                <w:rFonts w:ascii="Times New Roman" w:hAnsi="Times New Roman" w:eastAsia="바탕체"/>
                <w:b w:val="0"/>
                <w:i/>
                <w:sz w:val="20"/>
              </w:rPr>
              <w:t>0 2 3 4 5 6 0 1 2 3</w:t>
            </w:r>
          </w:p>
        </w:tc>
      </w:tr>
    </w:tbl>
    <w:p>
      <w:pPr>
        <w:spacing w:line="240" w:lineRule="auto" w:before="20" w:after="0"/>
        <w:jc w:val="left"/>
      </w:pPr>
      <w:r>
        <w:rPr>
          <w:rFonts w:ascii="Times New Roman" w:hAnsi="Times New Roman" w:eastAsia="바탕체"/>
          <w:b/>
          <w:i w:val="0"/>
          <w:sz w:val="18"/>
        </w:rPr>
        <w:t>Fig. 1. Hex-to-grade conversion accelerated by Cython</w:t>
      </w:r>
    </w:p>
    <w:p>
      <w:pPr>
        <w:spacing w:before="0" w:after="120"/>
      </w:pPr>
      <w:r>
        <w:rPr>
          <w:sz w:val="8"/>
        </w:rPr>
      </w:r>
    </w:p>
    <w:p>
      <w:pPr>
        <w:spacing w:before="0" w:after="0"/>
      </w:pPr>
      <w:r>
        <w:rPr>
          <w:sz w:val="8"/>
        </w:rPr>
      </w:r>
    </w:p>
    <w:tbl>
      <w:tblPr>
        <w:tblStyle w:val="TableGrid"/>
        <w:tblW w:type="auto" w:w="0"/>
        <w:tblLayout w:type="autofit"/>
        <w:tblLook w:firstColumn="1" w:firstRow="1" w:lastColumn="0" w:lastRow="0" w:noHBand="0" w:noVBand="1" w:val="04A0"/>
      </w:tblPr>
      <w:tblGrid>
        <w:gridCol w:w="10206"/>
      </w:tblGrid>
      <w:tr>
        <w:tc>
          <w:tcPr>
            <w:tcW w:type="dxa" w:w="10206"/>
          </w:tcPr>
          <w:p>
            <w:pPr>
              <w:spacing w:before="0" w:after="0"/>
            </w:pPr>
            <w:r>
              <w:rPr>
                <w:sz w:val="4"/>
              </w:rPr>
            </w:r>
          </w:p>
          <w:p>
            <w:pPr>
              <w:spacing w:line="240" w:lineRule="auto" w:before="0" w:after="40"/>
              <w:jc w:val="center"/>
            </w:pPr>
            <w:r>
              <w:rPr>
                <w:rFonts w:ascii="Times New Roman" w:hAnsi="Times New Roman" w:eastAsia="바탕체"/>
                <w:b/>
                <w:i w:val="0"/>
                <w:sz w:val="20"/>
              </w:rPr>
              <w:t>RGB PNG vs Palette-indexed PNG</w:t>
            </w:r>
          </w:p>
          <w:p>
            <w:pPr>
              <w:spacing w:line="240" w:lineRule="auto" w:before="0" w:after="0"/>
              <w:ind w:left="198"/>
              <w:jc w:val="left"/>
            </w:pPr>
            <w:r>
              <w:rPr>
                <w:rFonts w:ascii="Times New Roman" w:hAnsi="Times New Roman" w:eastAsia="바탕체"/>
                <w:b w:val="0"/>
                <w:i/>
                <w:sz w:val="20"/>
              </w:rPr>
              <w:t>RGB PNG:</w:t>
            </w:r>
          </w:p>
          <w:p>
            <w:pPr>
              <w:spacing w:line="240" w:lineRule="auto" w:before="0" w:after="0"/>
              <w:ind w:left="482"/>
              <w:jc w:val="left"/>
            </w:pPr>
            <w:r>
              <w:rPr>
                <w:rFonts w:ascii="Times New Roman" w:hAnsi="Times New Roman" w:eastAsia="바탕체"/>
                <w:b w:val="0"/>
                <w:i/>
                <w:sz w:val="20"/>
              </w:rPr>
              <w:t>[(123,54,24), (123,54,24), ..., (123,54,24)],</w:t>
            </w:r>
          </w:p>
          <w:p>
            <w:pPr>
              <w:spacing w:line="240" w:lineRule="auto" w:before="0" w:after="20"/>
              <w:ind w:left="482"/>
              <w:jc w:val="left"/>
            </w:pPr>
            <w:r>
              <w:rPr>
                <w:rFonts w:ascii="Times New Roman" w:hAnsi="Times New Roman" w:eastAsia="바탕체"/>
                <w:b w:val="0"/>
                <w:i/>
                <w:sz w:val="20"/>
              </w:rPr>
              <w:t>[(123,54,24), (123,54,24), ..., (123,54,24)]</w:t>
            </w:r>
          </w:p>
          <w:p>
            <w:pPr>
              <w:spacing w:line="240" w:lineRule="auto" w:before="0" w:after="0"/>
              <w:ind w:left="198"/>
              <w:jc w:val="left"/>
            </w:pPr>
            <w:r>
              <w:rPr>
                <w:rFonts w:ascii="Times New Roman" w:hAnsi="Times New Roman" w:eastAsia="바탕체"/>
                <w:b w:val="0"/>
                <w:i/>
                <w:sz w:val="20"/>
              </w:rPr>
              <w:t>Palette-indexed PNG:</w:t>
            </w:r>
          </w:p>
          <w:p>
            <w:pPr>
              <w:spacing w:line="240" w:lineRule="auto" w:before="0" w:after="0"/>
              <w:ind w:left="482"/>
              <w:jc w:val="left"/>
            </w:pPr>
            <w:r>
              <w:rPr>
                <w:rFonts w:ascii="Times New Roman" w:hAnsi="Times New Roman" w:eastAsia="바탕체"/>
                <w:b w:val="0"/>
                <w:i/>
                <w:sz w:val="20"/>
              </w:rPr>
              <w:t>P[3] = (123,54,24)</w:t>
            </w:r>
          </w:p>
          <w:p>
            <w:pPr>
              <w:spacing w:line="240" w:lineRule="auto" w:before="0" w:after="0"/>
              <w:ind w:left="482"/>
              <w:jc w:val="left"/>
            </w:pPr>
            <w:r>
              <w:rPr>
                <w:rFonts w:ascii="Times New Roman" w:hAnsi="Times New Roman" w:eastAsia="바탕체"/>
                <w:b w:val="0"/>
                <w:i/>
                <w:sz w:val="20"/>
              </w:rPr>
              <w:t>[(3), (3), ..., (3)],</w:t>
            </w:r>
          </w:p>
          <w:p>
            <w:pPr>
              <w:spacing w:line="240" w:lineRule="auto" w:before="0" w:after="20"/>
              <w:ind w:left="482"/>
              <w:jc w:val="left"/>
            </w:pPr>
            <w:r>
              <w:rPr>
                <w:rFonts w:ascii="Times New Roman" w:hAnsi="Times New Roman" w:eastAsia="바탕체"/>
                <w:b w:val="0"/>
                <w:i/>
                <w:sz w:val="20"/>
              </w:rPr>
              <w:t>[(3), (3), ..., (3)]</w:t>
            </w:r>
          </w:p>
          <w:p>
            <w:pPr>
              <w:spacing w:line="240" w:lineRule="auto" w:before="0" w:after="0"/>
              <w:ind w:left="198"/>
              <w:jc w:val="left"/>
            </w:pPr>
            <w:r>
              <w:rPr>
                <w:rFonts w:ascii="Times New Roman" w:hAnsi="Times New Roman" w:eastAsia="바탕체"/>
                <w:b w:val="0"/>
                <w:i/>
                <w:sz w:val="20"/>
              </w:rPr>
              <w:t>RGB_to_Palette:</w:t>
            </w:r>
          </w:p>
          <w:p>
            <w:pPr>
              <w:spacing w:line="240" w:lineRule="auto" w:before="0" w:after="20"/>
              <w:ind w:left="482"/>
              <w:jc w:val="left"/>
            </w:pPr>
            <w:r>
              <w:rPr>
                <w:rFonts w:ascii="Times New Roman" w:hAnsi="Times New Roman" w:eastAsia="바탕체"/>
                <w:b w:val="0"/>
                <w:i/>
                <w:sz w:val="20"/>
              </w:rPr>
              <w:t>(123,54,24) -&gt; (3)</w:t>
            </w:r>
          </w:p>
        </w:tc>
      </w:tr>
    </w:tbl>
    <w:p>
      <w:pPr>
        <w:spacing w:line="240" w:lineRule="auto" w:before="20" w:after="0"/>
        <w:jc w:val="left"/>
      </w:pPr>
      <w:r>
        <w:rPr>
          <w:rFonts w:ascii="Times New Roman" w:hAnsi="Times New Roman" w:eastAsia="바탕체"/>
          <w:b/>
          <w:i w:val="0"/>
          <w:sz w:val="18"/>
        </w:rPr>
        <w:t>Fig. 2. Palette-indexed PNG for failbit map compression.</w:t>
      </w:r>
    </w:p>
    <w:p>
      <w:pPr>
        <w:spacing w:before="0" w:after="120"/>
      </w:pPr>
      <w:r>
        <w:rPr>
          <w:sz w:val="8"/>
        </w:rPr>
      </w:r>
    </w:p>
    <w:p>
      <w:pPr>
        <w:spacing w:line="240" w:lineRule="auto" w:before="100" w:after="60"/>
      </w:pPr>
      <w:r>
        <w:rPr>
          <w:rFonts w:ascii="Times New Roman" w:hAnsi="Times New Roman" w:eastAsia="바탕체"/>
          <w:b/>
          <w:i w:val="0"/>
          <w:sz w:val="22"/>
        </w:rPr>
        <w:t>2.2 Known Defect Classification</w:t>
      </w:r>
    </w:p>
    <w:p>
      <w:pPr>
        <w:spacing w:line="240" w:lineRule="auto" w:after="40"/>
        <w:ind w:firstLine="283"/>
      </w:pPr>
      <w:r>
        <w:rPr>
          <w:rFonts w:ascii="Times New Roman" w:hAnsi="Times New Roman" w:eastAsia="바탕체"/>
          <w:b w:val="0"/>
          <w:i w:val="0"/>
          <w:sz w:val="20"/>
        </w:rPr>
        <w:t>Known-defect analysis targeted 16 registered classes. We designed a two-stage structure combining a ConvNeXtV2[1]-based wafer-level first-stage classifier and a second-stage ROI (Region of Interest)-based YOLO for low-confidence samples, and trained it on 1,500 labeled Failbit Maps.</w:t>
      </w:r>
    </w:p>
    <w:p>
      <w:pPr>
        <w:spacing w:line="240" w:lineRule="auto" w:after="40"/>
        <w:ind w:firstLine="283"/>
      </w:pPr>
      <w:r>
        <w:rPr>
          <w:rFonts w:ascii="Times New Roman" w:hAnsi="Times New Roman" w:eastAsia="바탕체"/>
          <w:b w:val="0"/>
          <w:i w:val="0"/>
          <w:sz w:val="20"/>
        </w:rPr>
        <w:t>While the ConvNeXtV2-based wafer-level classifier showed high overall accuracy and throughput, its performance degraded on classes with similar wafer-level distributions of defective chips. To compensate for this, the second stage was configured so that ROI-based YOLO re-examines low-confidence samples and detects defect-chip morphology and appearance patterns within the ROI (Fig. 3).</w:t>
      </w:r>
    </w:p>
    <w:p>
      <w:pPr>
        <w:spacing w:before="0" w:after="0"/>
      </w:pPr>
      <w:r>
        <w:rPr>
          <w:sz w:val="8"/>
        </w:rPr>
      </w:r>
    </w:p>
    <w:p>
      <w:pPr>
        <w:spacing w:before="0" w:after="20"/>
        <w:jc w:val="left"/>
      </w:pPr>
      <w:r>
        <w:drawing>
          <wp:inline xmlns:a="http://schemas.openxmlformats.org/drawingml/2006/main" xmlns:pic="http://schemas.openxmlformats.org/drawingml/2006/picture">
            <wp:extent cx="2951999" cy="1129414"/>
            <wp:docPr id="1" name="Picture 1"/>
            <wp:cNvGraphicFramePr>
              <a:graphicFrameLocks noChangeAspect="1"/>
            </wp:cNvGraphicFramePr>
            <a:graphic>
              <a:graphicData uri="http://schemas.openxmlformats.org/drawingml/2006/picture">
                <pic:pic>
                  <pic:nvPicPr>
                    <pic:cNvPr id="0" name="_fig_yolo_roi.png"/>
                    <pic:cNvPicPr/>
                  </pic:nvPicPr>
                  <pic:blipFill>
                    <a:blip r:embed="rId9"/>
                    <a:stretch>
                      <a:fillRect/>
                    </a:stretch>
                  </pic:blipFill>
                  <pic:spPr>
                    <a:xfrm>
                      <a:off x="0" y="0"/>
                      <a:ext cx="2951999" cy="1129414"/>
                    </a:xfrm>
                    <a:prstGeom prst="rect"/>
                  </pic:spPr>
                </pic:pic>
              </a:graphicData>
            </a:graphic>
          </wp:inline>
        </w:drawing>
      </w:r>
    </w:p>
    <w:p>
      <w:pPr>
        <w:spacing w:line="240" w:lineRule="auto" w:before="0" w:after="0"/>
        <w:jc w:val="left"/>
      </w:pPr>
      <w:r>
        <w:rPr>
          <w:rFonts w:ascii="Times New Roman" w:hAnsi="Times New Roman" w:eastAsia="바탕체"/>
          <w:b/>
          <w:i w:val="0"/>
          <w:sz w:val="18"/>
        </w:rPr>
        <w:t>Fig. 3. Representative patterns of Class A(a) and Class B(b), and a true Class A sample(c) misclassified as Class B by the first-stage CNN but corrected to Class A by the second-stage ROI-YOLO. The blue circle indicates the ROI, and the red boxes denote YOLO detections of chip-level defect patterns within the ROI.</w:t>
      </w:r>
    </w:p>
    <w:p>
      <w:pPr>
        <w:spacing w:before="0" w:after="120"/>
      </w:pPr>
      <w:r>
        <w:rPr>
          <w:sz w:val="8"/>
        </w:rPr>
      </w:r>
    </w:p>
    <w:p>
      <w:pPr>
        <w:spacing w:before="0" w:after="0"/>
      </w:pPr>
      <w:r>
        <w:rPr>
          <w:sz w:val="8"/>
        </w:rPr>
      </w:r>
    </w:p>
    <w:p>
      <w:pPr>
        <w:spacing w:line="240" w:lineRule="auto" w:before="0" w:after="20"/>
        <w:jc w:val="left"/>
      </w:pPr>
      <w:r>
        <w:rPr>
          <w:rFonts w:ascii="Times New Roman" w:hAnsi="Times New Roman" w:eastAsia="바탕체"/>
          <w:b/>
          <w:i w:val="0"/>
          <w:sz w:val="18"/>
        </w:rPr>
        <w:t>Table 1. Backbone comparison and staged improvements for known-fail classification (16-class, test weighted F1)</w:t>
      </w:r>
    </w:p>
    <w:tbl>
      <w:tblPr>
        <w:tblStyle w:val="TableGrid"/>
        <w:tblW w:type="auto" w:w="0"/>
        <w:tblLayout w:type="fixed"/>
        <w:tblLook w:firstColumn="1" w:firstRow="1" w:lastColumn="0" w:lastRow="0" w:noHBand="0" w:noVBand="1" w:val="04A0"/>
      </w:tblPr>
      <w:tblGrid>
        <w:gridCol w:w="2551"/>
        <w:gridCol w:w="2551"/>
        <w:gridCol w:w="2551"/>
        <w:gridCol w:w="2551"/>
      </w:tblGrid>
      <w:tr>
        <w:tc>
          <w:tcPr>
            <w:tcW w:type="dxa" w:w="1871"/>
            <w:shd w:val="clear" w:color="auto" w:fill="D9E1F2"/>
          </w:tcPr>
          <w:p>
            <w:pPr>
              <w:jc w:val="center"/>
            </w:pPr>
            <w:r>
              <w:rPr>
                <w:rFonts w:ascii="Times New Roman" w:hAnsi="Times New Roman" w:eastAsia="바탕체"/>
                <w:b/>
                <w:i w:val="0"/>
                <w:sz w:val="16"/>
              </w:rPr>
              <w:t>Configuration</w:t>
            </w:r>
          </w:p>
        </w:tc>
        <w:tc>
          <w:tcPr>
            <w:tcW w:type="dxa" w:w="1077"/>
            <w:shd w:val="clear" w:color="auto" w:fill="D9E1F2"/>
          </w:tcPr>
          <w:p>
            <w:pPr>
              <w:jc w:val="center"/>
            </w:pPr>
            <w:r>
              <w:rPr>
                <w:rFonts w:ascii="Times New Roman" w:hAnsi="Times New Roman" w:eastAsia="바탕체"/>
                <w:b/>
                <w:i w:val="0"/>
                <w:sz w:val="16"/>
              </w:rPr>
              <w:t>Pre Train</w:t>
            </w:r>
          </w:p>
        </w:tc>
        <w:tc>
          <w:tcPr>
            <w:tcW w:type="dxa" w:w="567"/>
            <w:shd w:val="clear" w:color="auto" w:fill="D9E1F2"/>
          </w:tcPr>
          <w:p>
            <w:pPr>
              <w:jc w:val="center"/>
            </w:pPr>
            <w:r>
              <w:rPr>
                <w:rFonts w:ascii="Times New Roman" w:hAnsi="Times New Roman" w:eastAsia="바탕체"/>
                <w:b/>
                <w:i w:val="0"/>
                <w:sz w:val="16"/>
              </w:rPr>
              <w:t>Test F1</w:t>
            </w:r>
          </w:p>
        </w:tc>
        <w:tc>
          <w:tcPr>
            <w:tcW w:type="dxa" w:w="907"/>
            <w:shd w:val="clear" w:color="auto" w:fill="D9E1F2"/>
          </w:tcPr>
          <w:p>
            <w:pPr>
              <w:jc w:val="center"/>
            </w:pPr>
            <w:r>
              <w:rPr>
                <w:rFonts w:ascii="Times New Roman" w:hAnsi="Times New Roman" w:eastAsia="바탕체"/>
                <w:b/>
                <w:i w:val="0"/>
                <w:sz w:val="16"/>
              </w:rPr>
              <w:t>Note</w:t>
            </w:r>
          </w:p>
        </w:tc>
      </w:tr>
      <w:tr>
        <w:tc>
          <w:tcPr>
            <w:tcW w:type="dxa" w:w="1871"/>
          </w:tcPr>
          <w:p>
            <w:pPr>
              <w:jc w:val="left"/>
            </w:pPr>
            <w:r>
              <w:rPr>
                <w:rFonts w:ascii="Times New Roman" w:hAnsi="Times New Roman" w:eastAsia="바탕체"/>
                <w:b w:val="0"/>
                <w:i w:val="0"/>
                <w:sz w:val="16"/>
              </w:rPr>
              <w:t>ViT</w:t>
            </w:r>
          </w:p>
        </w:tc>
        <w:tc>
          <w:tcPr>
            <w:tcW w:type="dxa" w:w="1077"/>
          </w:tcPr>
          <w:p>
            <w:pPr>
              <w:jc w:val="center"/>
            </w:pPr>
            <w:r>
              <w:rPr>
                <w:rFonts w:ascii="Times New Roman" w:hAnsi="Times New Roman" w:eastAsia="바탕체"/>
                <w:b w:val="0"/>
                <w:i w:val="0"/>
                <w:sz w:val="16"/>
              </w:rPr>
              <w:t>IN-21k</w:t>
            </w:r>
          </w:p>
        </w:tc>
        <w:tc>
          <w:tcPr>
            <w:tcW w:type="dxa" w:w="567"/>
          </w:tcPr>
          <w:p>
            <w:pPr>
              <w:jc w:val="center"/>
            </w:pPr>
            <w:r>
              <w:rPr>
                <w:rFonts w:ascii="Times New Roman" w:hAnsi="Times New Roman" w:eastAsia="바탕체"/>
                <w:b w:val="0"/>
                <w:i w:val="0"/>
                <w:sz w:val="16"/>
              </w:rPr>
              <w:t>0.81</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Swin</w:t>
            </w:r>
          </w:p>
        </w:tc>
        <w:tc>
          <w:tcPr>
            <w:tcW w:type="dxa" w:w="1077"/>
          </w:tcPr>
          <w:p>
            <w:pPr>
              <w:jc w:val="center"/>
            </w:pPr>
            <w:r>
              <w:rPr>
                <w:rFonts w:ascii="Times New Roman" w:hAnsi="Times New Roman" w:eastAsia="바탕체"/>
                <w:b w:val="0"/>
                <w:i w:val="0"/>
                <w:sz w:val="16"/>
              </w:rPr>
              <w:t>IN-1k</w:t>
            </w:r>
          </w:p>
        </w:tc>
        <w:tc>
          <w:tcPr>
            <w:tcW w:type="dxa" w:w="567"/>
          </w:tcPr>
          <w:p>
            <w:pPr>
              <w:jc w:val="center"/>
            </w:pPr>
            <w:r>
              <w:rPr>
                <w:rFonts w:ascii="Times New Roman" w:hAnsi="Times New Roman" w:eastAsia="바탕체"/>
                <w:b w:val="0"/>
                <w:i w:val="0"/>
                <w:sz w:val="16"/>
              </w:rPr>
              <w:t>0.84</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EffNetV2</w:t>
            </w:r>
          </w:p>
        </w:tc>
        <w:tc>
          <w:tcPr>
            <w:tcW w:type="dxa" w:w="1077"/>
          </w:tcPr>
          <w:p>
            <w:pPr>
              <w:jc w:val="center"/>
            </w:pPr>
            <w:r>
              <w:rPr>
                <w:rFonts w:ascii="Times New Roman" w:hAnsi="Times New Roman" w:eastAsia="바탕체"/>
                <w:b w:val="0"/>
                <w:i w:val="0"/>
                <w:sz w:val="16"/>
              </w:rPr>
              <w:t>IN-1k</w:t>
            </w:r>
          </w:p>
        </w:tc>
        <w:tc>
          <w:tcPr>
            <w:tcW w:type="dxa" w:w="567"/>
          </w:tcPr>
          <w:p>
            <w:pPr>
              <w:jc w:val="center"/>
            </w:pPr>
            <w:r>
              <w:rPr>
                <w:rFonts w:ascii="Times New Roman" w:hAnsi="Times New Roman" w:eastAsia="바탕체"/>
                <w:b w:val="0"/>
                <w:i w:val="0"/>
                <w:sz w:val="16"/>
              </w:rPr>
              <w:t>0.85</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MaxViT</w:t>
            </w:r>
          </w:p>
        </w:tc>
        <w:tc>
          <w:tcPr>
            <w:tcW w:type="dxa" w:w="1077"/>
          </w:tcPr>
          <w:p>
            <w:pPr>
              <w:jc w:val="center"/>
            </w:pPr>
            <w:r>
              <w:rPr>
                <w:rFonts w:ascii="Times New Roman" w:hAnsi="Times New Roman" w:eastAsia="바탕체"/>
                <w:b w:val="0"/>
                <w:i w:val="0"/>
                <w:sz w:val="16"/>
              </w:rPr>
              <w:t>IN-21k</w:t>
            </w:r>
          </w:p>
        </w:tc>
        <w:tc>
          <w:tcPr>
            <w:tcW w:type="dxa" w:w="567"/>
          </w:tcPr>
          <w:p>
            <w:pPr>
              <w:jc w:val="center"/>
            </w:pPr>
            <w:r>
              <w:rPr>
                <w:rFonts w:ascii="Times New Roman" w:hAnsi="Times New Roman" w:eastAsia="바탕체"/>
                <w:b w:val="0"/>
                <w:i w:val="0"/>
                <w:sz w:val="16"/>
              </w:rPr>
              <w:t>0.87</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ConvNeXtV2 (Ref)</w:t>
            </w:r>
          </w:p>
        </w:tc>
        <w:tc>
          <w:tcPr>
            <w:tcW w:type="dxa" w:w="1077"/>
          </w:tcPr>
          <w:p>
            <w:pPr>
              <w:jc w:val="center"/>
            </w:pPr>
            <w:r>
              <w:rPr>
                <w:rFonts w:ascii="Times New Roman" w:hAnsi="Times New Roman" w:eastAsia="바탕체"/>
                <w:b w:val="0"/>
                <w:i w:val="0"/>
                <w:sz w:val="16"/>
              </w:rPr>
              <w:t>IN-22k</w:t>
            </w:r>
          </w:p>
        </w:tc>
        <w:tc>
          <w:tcPr>
            <w:tcW w:type="dxa" w:w="567"/>
          </w:tcPr>
          <w:p>
            <w:pPr>
              <w:jc w:val="center"/>
            </w:pPr>
            <w:r>
              <w:rPr>
                <w:rFonts w:ascii="Times New Roman" w:hAnsi="Times New Roman" w:eastAsia="바탕체"/>
                <w:b w:val="0"/>
                <w:i w:val="0"/>
                <w:sz w:val="16"/>
              </w:rPr>
              <w:t>0.87</w:t>
            </w:r>
          </w:p>
        </w:tc>
        <w:tc>
          <w:tcPr>
            <w:tcW w:type="dxa" w:w="907"/>
          </w:tcPr>
          <w:p>
            <w:pPr>
              <w:jc w:val="center"/>
            </w:pPr>
            <w:r>
              <w:rPr>
                <w:rFonts w:ascii="Times New Roman" w:hAnsi="Times New Roman" w:eastAsia="바탕체"/>
                <w:b w:val="0"/>
                <w:i w:val="0"/>
                <w:sz w:val="16"/>
              </w:rPr>
              <w:t>selected</w:t>
            </w:r>
          </w:p>
        </w:tc>
      </w:tr>
      <w:tr>
        <w:tc>
          <w:tcPr>
            <w:tcW w:type="dxa" w:w="1871"/>
          </w:tcPr>
          <w:p>
            <w:pPr>
              <w:jc w:val="left"/>
            </w:pPr>
            <w:r>
              <w:rPr>
                <w:rFonts w:ascii="Times New Roman" w:hAnsi="Times New Roman" w:eastAsia="바탕체"/>
                <w:b w:val="0"/>
                <w:i w:val="0"/>
                <w:sz w:val="16"/>
              </w:rPr>
              <w:t>Ref + Optuna</w:t>
            </w:r>
          </w:p>
        </w:tc>
        <w:tc>
          <w:tcPr>
            <w:tcW w:type="dxa" w:w="1077"/>
          </w:tcPr>
          <w:p>
            <w:pPr>
              <w:jc w:val="center"/>
            </w:pPr>
            <w:r>
              <w:rPr>
                <w:rFonts w:ascii="Times New Roman" w:hAnsi="Times New Roman" w:eastAsia="바탕체"/>
                <w:b w:val="0"/>
                <w:i w:val="0"/>
                <w:sz w:val="16"/>
              </w:rPr>
              <w:t>IN-22k</w:t>
            </w:r>
          </w:p>
        </w:tc>
        <w:tc>
          <w:tcPr>
            <w:tcW w:type="dxa" w:w="567"/>
          </w:tcPr>
          <w:p>
            <w:pPr>
              <w:jc w:val="center"/>
            </w:pPr>
            <w:r>
              <w:rPr>
                <w:rFonts w:ascii="Times New Roman" w:hAnsi="Times New Roman" w:eastAsia="바탕체"/>
                <w:b w:val="0"/>
                <w:i w:val="0"/>
                <w:sz w:val="16"/>
              </w:rPr>
              <w:t>0.92</w:t>
            </w:r>
          </w:p>
        </w:tc>
        <w:tc>
          <w:tcPr>
            <w:tcW w:type="dxa" w:w="907"/>
          </w:tcPr>
          <w:p>
            <w:pPr>
              <w:jc w:val="center"/>
            </w:pPr>
            <w:r>
              <w:rPr>
                <w:rFonts w:ascii="Times New Roman" w:hAnsi="Times New Roman" w:eastAsia="바탕체"/>
                <w:b w:val="0"/>
                <w:i w:val="0"/>
                <w:sz w:val="16"/>
              </w:rPr>
              <w:t>HPO</w:t>
            </w:r>
          </w:p>
        </w:tc>
      </w:tr>
      <w:tr>
        <w:tc>
          <w:tcPr>
            <w:tcW w:type="dxa" w:w="1871"/>
            <w:shd w:val="clear" w:color="auto" w:fill="F2F2F2"/>
          </w:tcPr>
          <w:p>
            <w:pPr>
              <w:jc w:val="left"/>
            </w:pPr>
            <w:r>
              <w:rPr>
                <w:rFonts w:ascii="Times New Roman" w:hAnsi="Times New Roman" w:eastAsia="바탕체"/>
                <w:b/>
                <w:i w:val="0"/>
                <w:sz w:val="16"/>
              </w:rPr>
              <w:t>Ref + Optuna + ROI</w:t>
            </w:r>
          </w:p>
        </w:tc>
        <w:tc>
          <w:tcPr>
            <w:tcW w:type="dxa" w:w="1077"/>
            <w:shd w:val="clear" w:color="auto" w:fill="F2F2F2"/>
          </w:tcPr>
          <w:p>
            <w:pPr>
              <w:jc w:val="center"/>
            </w:pPr>
            <w:r>
              <w:rPr>
                <w:rFonts w:ascii="Times New Roman" w:hAnsi="Times New Roman" w:eastAsia="바탕체"/>
                <w:b w:val="0"/>
                <w:i w:val="0"/>
                <w:sz w:val="16"/>
              </w:rPr>
              <w:t>IN-22k</w:t>
            </w:r>
          </w:p>
        </w:tc>
        <w:tc>
          <w:tcPr>
            <w:tcW w:type="dxa" w:w="567"/>
            <w:shd w:val="clear" w:color="auto" w:fill="F2F2F2"/>
          </w:tcPr>
          <w:p>
            <w:pPr>
              <w:jc w:val="center"/>
            </w:pPr>
            <w:r>
              <w:rPr>
                <w:rFonts w:ascii="Times New Roman" w:hAnsi="Times New Roman" w:eastAsia="바탕체"/>
                <w:b w:val="0"/>
                <w:i w:val="0"/>
                <w:sz w:val="16"/>
              </w:rPr>
              <w:t>0.95</w:t>
            </w:r>
          </w:p>
        </w:tc>
        <w:tc>
          <w:tcPr>
            <w:tcW w:type="dxa" w:w="907"/>
            <w:shd w:val="clear" w:color="auto" w:fill="F2F2F2"/>
          </w:tcPr>
          <w:p>
            <w:pPr>
              <w:jc w:val="center"/>
            </w:pPr>
            <w:r>
              <w:rPr>
                <w:rFonts w:ascii="Times New Roman" w:hAnsi="Times New Roman" w:eastAsia="바탕체"/>
                <w:b w:val="0"/>
                <w:i w:val="0"/>
                <w:sz w:val="16"/>
              </w:rPr>
              <w:t>2-stage</w:t>
            </w:r>
          </w:p>
        </w:tc>
      </w:tr>
    </w:tbl>
    <w:p>
      <w:pPr>
        <w:spacing w:before="0" w:after="120"/>
      </w:pPr>
      <w:r>
        <w:rPr>
          <w:sz w:val="8"/>
        </w:rPr>
      </w:r>
    </w:p>
    <w:p>
      <w:pPr>
        <w:spacing w:line="240" w:lineRule="auto" w:after="40"/>
        <w:ind w:firstLine="283"/>
      </w:pPr>
      <w:r>
        <w:rPr>
          <w:rFonts w:ascii="Times New Roman" w:hAnsi="Times New Roman" w:eastAsia="바탕체"/>
          <w:b w:val="0"/>
          <w:i w:val="0"/>
          <w:sz w:val="20"/>
        </w:rPr>
        <w:t>MaxViT[2] and ConvNeXtV2 (Ref) achieved the same weighted F1 of 0.87, but ConvNeXtV2 was selected as the final backbone because it was more efficient, with about 26% fewer parameters (119.5M -&gt; 88.6M) and about 39% fewer FLOPs (74.2G -&gt; 45.1G). This choice reflects the operational environment in which more than 20,000 wafer Failbit Maps are generated per day across all products. Optuna was then used to optimize fine-tuning hyperparameters such as learning rate, weight decay, focal loss, and class weight, improving weighted F1 to 0.92, and ROI-YOLO refinement further increased the final score to 0.95.</w:t>
      </w:r>
    </w:p>
    <w:p>
      <w:pPr>
        <w:spacing w:line="240" w:lineRule="auto" w:before="100" w:after="60"/>
      </w:pPr>
      <w:r>
        <w:rPr>
          <w:rFonts w:ascii="Times New Roman" w:hAnsi="Times New Roman" w:eastAsia="바탕체"/>
          <w:b/>
          <w:i w:val="0"/>
          <w:sz w:val="22"/>
        </w:rPr>
        <w:t>2.3 Unknown Defect Discovery</w:t>
      </w:r>
    </w:p>
    <w:p>
      <w:pPr>
        <w:spacing w:line="240" w:lineRule="auto" w:after="40"/>
        <w:ind w:firstLine="283"/>
      </w:pPr>
      <w:r>
        <w:rPr>
          <w:rFonts w:ascii="Times New Roman" w:hAnsi="Times New Roman" w:eastAsia="바탕체"/>
          <w:b w:val="0"/>
          <w:i w:val="0"/>
          <w:sz w:val="20"/>
        </w:rPr>
        <w:t>Unknown defect discovery was defined as the task of grouping similar patterns and identifying candidate defect groups. Using 10,000 production maps from five days, a SimCLR[3]-family model was trained with contrastive learning using grid-structured local sampling to reflect the zone-based nature of wafer defect interpretation. HDBSCAN[4] was then applied to a separate set of 2,000 maps from one additional day to group similar patterns.</w:t>
      </w:r>
    </w:p>
    <w:p>
      <w:pPr>
        <w:spacing w:before="0" w:after="0"/>
      </w:pPr>
      <w:r>
        <w:rPr>
          <w:sz w:val="8"/>
        </w:rPr>
      </w:r>
    </w:p>
    <w:p>
      <w:pPr>
        <w:spacing w:before="0" w:after="20"/>
        <w:jc w:val="left"/>
      </w:pPr>
      <w:r>
        <w:drawing>
          <wp:inline xmlns:a="http://schemas.openxmlformats.org/drawingml/2006/main" xmlns:pic="http://schemas.openxmlformats.org/drawingml/2006/picture">
            <wp:extent cx="2951999" cy="730219"/>
            <wp:docPr id="2" name="Picture 2"/>
            <wp:cNvGraphicFramePr>
              <a:graphicFrameLocks noChangeAspect="1"/>
            </wp:cNvGraphicFramePr>
            <a:graphic>
              <a:graphicData uri="http://schemas.openxmlformats.org/drawingml/2006/picture">
                <pic:pic>
                  <pic:nvPicPr>
                    <pic:cNvPr id="0" name="_fig_cluster.png"/>
                    <pic:cNvPicPr/>
                  </pic:nvPicPr>
                  <pic:blipFill>
                    <a:blip r:embed="rId10"/>
                    <a:stretch>
                      <a:fillRect/>
                    </a:stretch>
                  </pic:blipFill>
                  <pic:spPr>
                    <a:xfrm>
                      <a:off x="0" y="0"/>
                      <a:ext cx="2951999" cy="730219"/>
                    </a:xfrm>
                    <a:prstGeom prst="rect"/>
                  </pic:spPr>
                </pic:pic>
              </a:graphicData>
            </a:graphic>
          </wp:inline>
        </w:drawing>
      </w:r>
    </w:p>
    <w:p>
      <w:pPr>
        <w:spacing w:line="240" w:lineRule="auto" w:before="0" w:after="0"/>
        <w:jc w:val="left"/>
      </w:pPr>
      <w:r>
        <w:rPr>
          <w:rFonts w:ascii="Times New Roman" w:hAnsi="Times New Roman" w:eastAsia="바탕체"/>
          <w:b/>
          <w:i w:val="0"/>
          <w:sz w:val="18"/>
        </w:rPr>
        <w:t>Fig. 4. Unknown-fail grouping on production images.</w:t>
      </w:r>
    </w:p>
    <w:p>
      <w:pPr>
        <w:spacing w:before="0" w:after="120"/>
      </w:pPr>
      <w:r>
        <w:rPr>
          <w:sz w:val="8"/>
        </w:rPr>
      </w:r>
    </w:p>
    <w:p>
      <w:pPr>
        <w:spacing w:line="240" w:lineRule="auto" w:after="40"/>
        <w:ind w:firstLine="283"/>
      </w:pPr>
      <w:r>
        <w:rPr>
          <w:rFonts w:ascii="Times New Roman" w:hAnsi="Times New Roman" w:eastAsia="바탕체"/>
          <w:b w:val="0"/>
          <w:i w:val="0"/>
          <w:sz w:val="20"/>
        </w:rPr>
        <w:t>For Unknown defects, grouping on 2,000 production images yielded 13 candidate groups, and validation by domain engineers confirmed that 7 of them were real defect groups. The remaining 6 groups were interpreted as lot-specific warning-level noise patterns or patterns that did not lead to actual chip defects.</w:t>
      </w:r>
    </w:p>
    <w:p>
      <w:pPr>
        <w:spacing w:line="240" w:lineRule="auto" w:before="200" w:after="200"/>
      </w:pPr>
      <w:r>
        <w:rPr>
          <w:rFonts w:ascii="Times New Roman" w:hAnsi="Times New Roman" w:eastAsia="바탕체"/>
          <w:b/>
          <w:i w:val="0"/>
          <w:sz w:val="22"/>
        </w:rPr>
        <w:t>3. CONCLUSION</w:t>
      </w:r>
    </w:p>
    <w:p>
      <w:pPr>
        <w:spacing w:line="240" w:lineRule="auto" w:after="40"/>
        <w:ind w:firstLine="283"/>
      </w:pPr>
      <w:r>
        <w:rPr>
          <w:rFonts w:ascii="Times New Roman" w:hAnsi="Times New Roman" w:eastAsia="바탕체"/>
          <w:b w:val="0"/>
          <w:i w:val="0"/>
          <w:sz w:val="20"/>
        </w:rPr>
        <w:t>This study implemented an integrated architecture for end-to-end Failbit Map generation and automated defect analysis. Cython optimization and a 32-color palette-indexed PNG enabled large-scale map generation, storage, and operational use, while the combination of Known two-stage classification and Unknown self-supervised discovery established an automated defect-analysis workflow.</w:t>
      </w:r>
    </w:p>
    <w:p>
      <w:pPr>
        <w:spacing w:line="240" w:lineRule="auto" w:before="200" w:after="200"/>
      </w:pPr>
      <w:r>
        <w:rPr>
          <w:rFonts w:ascii="Times New Roman" w:hAnsi="Times New Roman" w:eastAsia="바탕체"/>
          <w:b/>
          <w:i w:val="0"/>
          <w:sz w:val="22"/>
        </w:rPr>
        <w:t>REFERENCES</w:t>
      </w:r>
    </w:p>
    <w:p>
      <w:pPr>
        <w:spacing w:line="240" w:lineRule="auto" w:after="20"/>
        <w:ind w:left="283" w:hanging="283"/>
      </w:pPr>
      <w:r>
        <w:rPr>
          <w:rFonts w:ascii="Times New Roman" w:hAnsi="Times New Roman" w:eastAsia="바탕체"/>
          <w:b w:val="0"/>
          <w:i w:val="0"/>
          <w:sz w:val="18"/>
        </w:rPr>
        <w:t>[1] S. Woo et al., "ConvNeXt V2: Co-Designing and Scaling ConvNets With Masked Autoencoders," in Proceedings of the IEEE/CVF Conference on Computer Vision and Pattern Recognition (CVPR), pp. 16133-16142, 2023.</w:t>
      </w:r>
    </w:p>
    <w:p>
      <w:pPr>
        <w:spacing w:line="240" w:lineRule="auto" w:after="20"/>
        <w:ind w:left="283" w:hanging="283"/>
      </w:pPr>
      <w:r>
        <w:rPr>
          <w:rFonts w:ascii="Times New Roman" w:hAnsi="Times New Roman" w:eastAsia="바탕체"/>
          <w:b w:val="0"/>
          <w:i w:val="0"/>
          <w:sz w:val="18"/>
        </w:rPr>
        <w:t>[2] Z. Tu et al., "MaxViT: Multi-Axis Vision Transformer," in Proceedings of the European Conference on Computer Vision (ECCV), pp. 459-479, 2022.</w:t>
      </w:r>
    </w:p>
    <w:p>
      <w:pPr>
        <w:spacing w:line="240" w:lineRule="auto" w:after="20"/>
        <w:ind w:left="283" w:hanging="283"/>
      </w:pPr>
      <w:r>
        <w:rPr>
          <w:rFonts w:ascii="Times New Roman" w:hAnsi="Times New Roman" w:eastAsia="바탕체"/>
          <w:b w:val="0"/>
          <w:i w:val="0"/>
          <w:sz w:val="18"/>
        </w:rPr>
        <w:t>[3] T. Chen, S. Kornblith, M. Norouzi, and G. Hinton, "A Simple Framework for Contrastive Learning of Visual Representations," in Proceedings of the 37th International Conference on Machine Learning (ICML), PMLR 119, pp. 1597-1607, 2020.</w:t>
      </w:r>
    </w:p>
    <w:p>
      <w:pPr>
        <w:spacing w:line="240" w:lineRule="auto" w:after="20"/>
        <w:ind w:left="283" w:hanging="283"/>
      </w:pPr>
      <w:r>
        <w:rPr>
          <w:rFonts w:ascii="Times New Roman" w:hAnsi="Times New Roman" w:eastAsia="바탕체"/>
          <w:b w:val="0"/>
          <w:i w:val="0"/>
          <w:sz w:val="18"/>
        </w:rPr>
        <w:t>[4] R. J. G. B. Campello, D. Moulavi, and J. Sander, "Density-Based Clustering Based on Hierarchical Density Estimates," in Advances in Knowledge Discovery and Data Mining, PAKDD 2013, pp. 160-172, 2013.</w:t>
      </w:r>
    </w:p>
    <w:p>
      <w:pPr>
        <w:spacing w:line="240" w:lineRule="auto" w:after="20"/>
        <w:ind w:left="283" w:hanging="283"/>
      </w:pPr>
      <w:r>
        <w:rPr>
          <w:rFonts w:ascii="Times New Roman" w:hAnsi="Times New Roman" w:eastAsia="바탕체"/>
          <w:b w:val="0"/>
          <w:i w:val="0"/>
          <w:sz w:val="18"/>
        </w:rPr>
        <w:t>[5] FBM, https://www.failbitmap.com</w:t>
      </w:r>
    </w:p>
    <w:sectPr w:rsidR="00FC693F" w:rsidRPr="0006063C" w:rsidSect="00034616">
      <w:type w:val="continuous"/>
      <w:pgSz w:w="11906" w:h="16838"/>
      <w:pgMar w:top="1701" w:right="850" w:bottom="1417" w:left="850" w:header="720" w:footer="720" w:gutter="0"/>
      <w:cols w:space="283"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