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been impractical, and even the limited analysis that was feasible relied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the model was applied to 2,000 maps from an additional day. It detected 13 defect groups, 7 of which were confirmed by domain engineers as real defect groups,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The main contributions are as follows.</w:t>
      </w:r>
    </w:p>
    <w:p>
      <w:pPr>
        <w:spacing w:line="240" w:lineRule="auto" w:after="40"/>
        <w:ind w:firstLine="283"/>
      </w:pPr>
      <w:r>
        <w:rPr>
          <w:rFonts w:ascii="Times New Roman" w:hAnsi="Times New Roman" w:eastAsia="바탕체"/>
          <w:b w:val="0"/>
          <w:i w:val="0"/>
          <w:sz w:val="20"/>
        </w:rPr>
        <w:t>First, we implemented a data-processing foundation capable of real-time ingestion of large equipment logs and hourly Failbit Map generation, enabling sustained large-scale map creation and operational use. Second, for Known defects, we used ConvNeXt V2 to classify wafer-level defect-chip distribution patterns in the first stage, and then applied ROI-based YOLO to perform chip-level object detection on samples prone to confusion due to similar distribution patterns, as a second-stage refinement. Third, for newly emerging defects not registered in the existing taxonomy, we implemented a SimCLR-family contrastive-learning framework for Unknown defect discovery. In addition, grid-structured local sampling was introduced to encode spatial occurrence information,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application[5].</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by about 100x with Cython (Fig. 1), and the latter was reduced by about 75% with a 32-color palette-indexed PNG (Fig. 2). Generated maps are stored in a central repository and served through the analysis web application[5] for large-scale browsing and analysis.</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We designed a two-stage structure combining a ConvNeXtV2[1]-based wafer-level first-stage classifier and a second-stage ROI (Region of Interest)-based YOLO for low-confidence samples, and trained it on 1,500 labeled Failbit Maps.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the second stage was configured so that ROI-based YOLO re-examines low-confidence samples and detects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-&gt; 88.6M) and about 39% fewer FLOPs (74.2G -&gt; 45.1G). Optuna was then used to optimize fine-tuning hyperparameters such as learning rate, weight decay, focal loss, and class weight,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were lot-specific warnings or non-defect patterns.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end-to-end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