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운영용 데이터 파이프라인을 구축하고, 그 위에서 Known 불량은 2-stage supervised classification으로,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ROI(Region of Interest) 기반 YOLO 2차 분류를 결합한 구조로 설계하였으며, F1-score 0.95를 달성하였다. Unknown 불량 검출은 레이블 없이 SimCLR 계열 모델에 wafer의 zone 기반 불량 해석 특성을 반영하기 위해 grid structured local sampling을 적용하여 대조학습을 수행하였다. 양산 5일치 Failbit Map 10,000장 학습 후 1일치 2,000장 적용 시 13개 불량 그룹이 검출되었고, 이 중 7개가 현업 엔지니어 검증에서 실제 불량 그룹으로 판정되어 현업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이는 불량의 위치와 형태를 반영하는 초고해상도 데이터이다. 현업의 Measure 기반 분석만으로는 이러한 정보를 확인할 수 없어 Failbit Map의 전수 분석이 필요하다.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주요 병목은 wafer당 약 1,000만 개의 암호화된 test 결과를 grade 값으로 변환하는 속도와, 4K를 초과하는 초고해상도 이미지의 저장 용량 부담이었다. 이에 Cython 최적화로 변환 속도를 약 100배 향상시켰으며(Fig. 1), 32-palette-indexed PNG를 적용하여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dashed yellow box indicates the ROI, and the green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MaxViT[2]와 ConvNeXtV2 (Ref)는 동일한 test Weighted F1 0.87을 보였으나, ConvNeXtV2는 파라미터 수 약 26% 감소(119.5M → 88.6M)와 FLOPs 약 39% 감소(74.2G → 45.1G)로 더 효율적이라 최종 backbone으로 선정하였다. 이는 하루 약 2만 장 이상의 Wafer Failbit Map이 발생하는 운영 환경을 고려한 선택이다. 이후 Optuna를 통해 lr, weight decay, focal loss, class weight 등을 최적화하여 test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모델에 wafer의 zone 기반 불량 해석 특성을 반영하기 위해 grid structured local sampling을 적용하여 대조학습을 수행하였고, 별도 1일치 2,000장에 HDBSCAN[4]을 적용하여 유사 패턴을 그룹화하였다.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palette-indexed PNG로 대량 Map을 생성하였고, Known 2-stage 분류와 Unknown self-supervised 검출을 결합하여 자동화 및 고도화하였다. 현재 분석용 Web App[5] 운영 중이며 DRAM 전제품 확인 가능하다.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