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이렇게 맞춘 자료로 등록 failure는 ConvNeXtV2-Base와 저신뢰 표본 한정 ROI(Region of Interest)-YOLO(You Only Look Once) 2-stage를 거쳐 field validation에서 weighted F1 0.95를 얻었다. 라벨이 없는 신규 패턴은 contrastive embedding과 HDBSCAN(Hierarchical Density-Based Spatial Clustering of Applications with Noise)으로 운영 wafer를 13개 검토군으로 정리했고, 현업 검토에서 7개 신규 failure group을 확인했다. chip 수준에서는 object-id map을 생성 데이터 기준 후속 개발 항목으로 두고, FCM-PM(Full-Cover CutMix + Pair Mask)으로 single-failure source 기반 2-combo controlled synthetic benchmark에서 bit-F1 0.9927과 FAR 0.00%를 얻었다. 각 결과는 나온 조건이 다르므로 field validation, field review, generated development, controlled synthetic benchmark라는 범위 안에서만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검토군으로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운영에서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검토군을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검토군으로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[5].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[10][12].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위치를 만들고, GMM은 한 wafer 안의 chip-object 개수 분포로 ROI 후보를 제한한다. ROI 영역에 YOLO[9]를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진화시키는 후속 모듈을 설계하였다(생성 데이터셋 기준 개발 중).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새 패턴을 기존 class로 흡수할 위험이 있어, 라벨에 종속되지 않는 자기지도 InfoNCE를 채택하였다. global 항은 같은 wafer의 두 증강본을 당기고 다른 wafer를 밀며, local 항은 6×6 structured grid의 대응 patch를 정렬한다. 작은 batch의 negative 부족은 MoCo(Momentum Contrast)[8]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medoid를 보고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결과를 읽기 전에 각 숫자가 어디서 나온 값인지 먼저 구분했다. Known F1은 field validation에서 얻은 값이고, Unknown 13→7은 운영 wafer를 13개 검토군으로 정리한 field review 결과다. object-id map은 생성 데이터 기준 후속 개발 결과이며, FCM-PM은 통제된 합성 평가 결과다.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chip-CNN 출력에 최대 10% noise를 주입해도 wafer-level F1 변동은 5-seed 표준편차 안에 머물렀다.</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검토군으로 정리했고, 그중 7개가 전문가 검토에서 신규 불량으로 확인되었다. 실전 Unknown은 정답 라벨이 없고 양산 noise가 커 F1/ARI 같은 정량 점수가 성립하지 않는다. 따라서 13→7은 classifier precision이 아니라 담당자가 13개 검토군을 확인해 7개 신규 불량을 찾은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 결과를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 measure를 확인한 뒤 review label을 남긴다. 여기서 사용 범위는 FBM 생성, 조회, overlay, label review를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검토군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검토군으로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validation에서 weighted F1 0.95를 확인했고, Unknown 경로는 라벨 없는 운영 wafer를 13개 검토군으로 정리해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