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60"/>
        <w:jc w:val="left"/>
      </w:pPr>
      <w:r>
        <w:rPr>
          <w:rFonts w:ascii="Times New Roman" w:hAnsi="Times New Roman" w:eastAsia="바탕체"/>
          <w:b/>
          <w:sz w:val="32"/>
        </w:rPr>
        <w:t>저자별 기여도 협의록</w:t>
      </w:r>
    </w:p>
    <w:p>
      <w:pPr>
        <w:spacing w:line="240" w:lineRule="auto" w:after="120"/>
        <w:jc w:val="both"/>
      </w:pPr>
      <w:r>
        <w:rPr>
          <w:rFonts w:ascii="Times New Roman" w:hAnsi="Times New Roman" w:eastAsia="바탕체"/>
          <w:b w:val="0"/>
          <w:sz w:val="20"/>
        </w:rPr>
        <w:t>기여율은 conceptualization/design, methodology, software, validation, investigation, data curation, formal analysis, analysis/conclusion, writing-original draft, visualization, writing-review/editing 기준으로 산정하였으며, resources, supervision, project administration은 제외하였다.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저자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기여율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/>
                <w:sz w:val="20"/>
              </w:rPr>
              <w:t>기여 내용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최호길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70%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연구 개념 구체화, 전체 기술 설계, 방법론·software 구현, 데이터 처리, 실험·검증, 분석·해석, 시각화 및 원고 초안 작성을 주도하였다.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현업엔지니어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15%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현장 문제와 Known failure 초기 아이디어를 제시하고, web application·대량 이미지 생성 필요성 제안 및 초기 labeling·validation을 지원하였다.</w:t>
            </w:r>
          </w:p>
        </w:tc>
      </w:tr>
      <w:tr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관리자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15%</w:t>
            </w:r>
          </w:p>
        </w:tc>
        <w:tc>
          <w:tcPr>
            <w:tcW w:type="dxa" w:w="3402"/>
            <w:vAlign w:val="center"/>
          </w:tcPr>
          <w:p>
            <w:pPr>
              <w:jc w:val="left"/>
            </w:pPr>
            <w:r/>
            <w:r>
              <w:rPr>
                <w:rFonts w:ascii="Times New Roman" w:hAnsi="Times New Roman" w:eastAsia="바탕체"/>
                <w:b w:val="0"/>
                <w:sz w:val="20"/>
              </w:rPr>
              <w:t>연구 목표와 논문 구성에 대한 conceptualization/design 피드백을 제공하고, 문제 정의·서술 흐름·revision 방향에 대한 writing-review/editing을 수행하였다.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