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반도체 웨이퍼 불량 분석을 위한 도메인 지식 기반 통합 파이프라인</w:t>
      </w:r>
    </w:p>
    <w:p>
      <w:pPr>
        <w:spacing w:line="240" w:lineRule="auto" w:after="80"/>
        <w:jc w:val="center"/>
      </w:pPr>
      <w:r>
        <w:rPr>
          <w:rFonts w:ascii="Times New Roman" w:hAnsi="Times New Roman" w:eastAsia="바탕체"/>
          <w:b w:val="0"/>
          <w:i/>
          <w:sz w:val="20"/>
        </w:rPr>
        <w:t>A Domain Knowledge-Driven Integrated Pipeline for Semiconductor Wafer Defect Analysis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반도체 EDS(Electrical Die Sorting) Test 결과인 Failbit Map은 천만 픽셀 이상의 표현력으로 웨이퍼 불량의 위치·분포·밀집도·방향성을 담는 수율 관리의 핵심 데이터이나, 기존 운영 환경은 수치 임계치 기반 사후 확인 구조에 머물러 맵 상의 공간적 이상 패턴을 조기에 탐지할 수 없는 구조적 한계를 지닌다. 본 논문은 이를 해결하기 위해 데이터 생성, 등록 불량 분류, 미등록 불량 군집화, UI 기반 전문가 검토를 단일 흐름으로 통합하는 도메인 지식 기반 파이프라인을 제안한다. 데이터 표현 계층에서는 Failbit Map이 전기적 검사 결과를 의미하는 약 20종의 이산 색상만 사용함을 활용하여 32-color palette-indexed PNG 포맷을 채택함으로써 무손실 의미 보존과 24-bit RGB 대비 65% 파일 크기 절감을 동시에 달성하였다. 등록 불량 분류 경로에서는 FCMAE 비지도 사전학습 가중치를 보유한 ConvNeXtV2-Base를 backbone으로 선택하고 Optuna 기반 전역 하이퍼파라미터 탐색을 적용하여 16-class weighted F1을 0.78에서 0.92로 향상시켰다. 나아가 low-confidence 및 difficult class에 한해 Grad-CAM 기반 동적 ROI 추출, 클래스별 spatial prior α-블렌딩, YOLO cls_loss 강화 이차 검증을 선택적으로 조합하는 2-stage correction 구조를 도입하여 최종 weighted F1 0.95를 달성하였다. 미등록 불량 경로에서는 Supervised Contrastive Learning 대비 open-set 임베딩 분리도가 우수한 InfoNCE 손실 함수를 채택하고, 웨이퍼 내 공간 위치가 공정 의미를 가진다는 도메인 지식을 반영한 grid36 structured local sampling과 HDBSCAN 밀도 기반 군집화를 결합하여 unknown defect 후보를 자동 탐지하고 전문가 검토 기반 라벨 확장 루프를 구성하였다.</w:t>
      </w:r>
    </w:p>
    <w:p>
      <w:pPr>
        <w:spacing w:before="0" w:after="0"/>
        <w:sectPr>
          <w:pgSz w:w="11907" w:h="16839"/>
          <w:pgMar w:top="1701" w:bottom="1417" w:left="850" w:right="850" w:gutter="0"/>
          <w:cols w:num="1"/>
          <w:type w:val="continuous"/>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반도체 Failbit Map 불량 패턴 분류는 수율 관리의 핵심 과제이나, 맵 이미지를 대량으로 열람할 수 있는 인프라가 없어 실무자들이 개별 저장·공유 방식에 의존하는 구조적 문제가 있다. 본 시스템 설계 과정에서 도출된 세 가지 요구사항은: (1) 특정 전문가만 수행 가능한 라벨링의 UI 기반 간소화, (2) 갑작스런 unknown defect 조기 탐지 [4], (3) wafer map + chip 계측값 종합 분석 UI이다. 이에 데이터 생성-등록 불량 분류-미등록 불량 군집화-UI 검토를 하나로 연결하는 도메인 지식 기반 통합 파이프라인을 설계하였다.</w:t>
      </w:r>
    </w:p>
    <w:p>
      <w:pPr>
        <w:spacing w:line="240" w:lineRule="auto" w:before="200" w:after="200"/>
      </w:pPr>
      <w:r>
        <w:rPr>
          <w:rFonts w:ascii="Times New Roman" w:hAnsi="Times New Roman" w:eastAsia="바탕체"/>
          <w:b/>
          <w:i w:val="0"/>
          <w:sz w:val="22"/>
        </w:rPr>
        <w:t>2. 제안 방법</w:t>
      </w:r>
    </w:p>
    <w:p>
      <w:pPr>
        <w:spacing w:line="240" w:lineRule="auto" w:before="200" w:after="200"/>
      </w:pPr>
      <w:r>
        <w:rPr>
          <w:rFonts w:ascii="Times New Roman" w:hAnsi="Times New Roman" w:eastAsia="바탕체"/>
          <w:b/>
          <w:i w:val="0"/>
          <w:sz w:val="22"/>
        </w:rPr>
        <w:t>2.1 데이터 생성 및 표현</w:t>
      </w:r>
    </w:p>
    <w:p>
      <w:pPr>
        <w:spacing w:line="240" w:lineRule="auto" w:after="40"/>
      </w:pPr>
      <w:r>
        <w:rPr>
          <w:rFonts w:ascii="Times New Roman" w:hAnsi="Times New Roman" w:eastAsia="바탕체"/>
          <w:b w:val="0"/>
          <w:i w:val="0"/>
          <w:sz w:val="20"/>
        </w:rPr>
        <w:t>Bucket A(Failbit 로그)와 Bucket B(FBT/QVL 계측)를 256 연결 병렬 다운로드·±10초 매칭으로 정합하고, Cython 컴파일 파싱으로 Python 대비 3~5× 속도를 달성하였다. 이미지는 8-bit palette PNG(32색)로 저장한다. Failbit Map은 검사 결과로 20색 전후만 사용하므로 palette 양자화가 사실상 무손실이며, PLTE 교체만으로 사용자별 색상 scheme 즉시 전환이 가능하다. 24bit RGB 대비 약 65% 크기 절감.</w:t>
      </w:r>
    </w:p>
    <w:p>
      <w:pPr>
        <w:spacing w:line="240" w:lineRule="auto" w:before="200" w:after="200"/>
      </w:pPr>
      <w:r>
        <w:rPr>
          <w:rFonts w:ascii="Times New Roman" w:hAnsi="Times New Roman" w:eastAsia="바탕체"/>
          <w:b/>
          <w:i w:val="0"/>
          <w:sz w:val="22"/>
        </w:rPr>
        <w:t>2.2 등록 불량 분류 (16-class)</w:t>
      </w:r>
    </w:p>
    <w:p>
      <w:pPr>
        <w:spacing w:line="240" w:lineRule="auto" w:after="40"/>
      </w:pPr>
      <w:r>
        <w:rPr>
          <w:rFonts w:ascii="Times New Roman" w:hAnsi="Times New Roman" w:eastAsia="바탕체"/>
          <w:b w:val="0"/>
          <w:i w:val="0"/>
          <w:sz w:val="20"/>
        </w:rPr>
        <w:t>EfficientNetV2, MaxViT, ViT, Swin, ConvNeXtV2를 Hugging Face timm으로 fine-tuning 비교. 총 ~1500개(val ~500개) 데이터에서 ConvNeXtV2-Base(FCMAE+IN-22k, 384×384)가 val F1 0.92로 1위. FGVC·Focal Loss는 효과 제한적. 모든 샘플에 YOLO를 적용하지 않은 이유: (1) 연산 비용, (2) wafer 불량은 전체 맵의 global 분포로 판단해야 하므로 CNN first 필수. CNN 신뢰도 &lt; 0.80 또는 difficult class일 때만 Grad-CAM ROI [6] + spatial prior로 보강 후 YOLO 이차 검증. YOLO 학습에서 cls_loss가 가장 결정적 — ROI 내 defect class 구분이 핵심이며, cls gain 강화 시 correction precision 90% 이상, F1 0.92→0.95 달성.</w:t>
      </w:r>
    </w:p>
    <w:p>
      <w:pPr>
        <w:spacing w:line="240" w:lineRule="auto" w:before="200" w:after="200"/>
      </w:pPr>
      <w:r>
        <w:rPr>
          <w:rFonts w:ascii="Times New Roman" w:hAnsi="Times New Roman" w:eastAsia="바탕체"/>
          <w:b/>
          <w:i w:val="0"/>
          <w:sz w:val="22"/>
        </w:rPr>
        <w:t>2.3 미등록 불량 탐지 (Open-set)</w:t>
      </w:r>
    </w:p>
    <w:p>
      <w:pPr>
        <w:spacing w:line="240" w:lineRule="auto" w:after="40"/>
      </w:pPr>
      <w:r>
        <w:rPr>
          <w:rFonts w:ascii="Times New Roman" w:hAnsi="Times New Roman" w:eastAsia="바탕체"/>
          <w:b w:val="0"/>
          <w:i w:val="0"/>
          <w:sz w:val="20"/>
        </w:rPr>
        <w:t>SupCon [3]은 등록 군집 밀집도는 향상시켰으나 unknown 군집 분리도 저하 → InfoNCE(SimCLR [7]) 채택. contrastive learning은 정답 예측이 아닌 임베딩 배치 학습이므로 train/test 분리 없이 전체 데이터 활용 가능. 6×6 격자(grid36_full) 기반 structured local 샘플링. flip 제외(left/right edge_loc는 공정 원인 상이). Global InfoNCE(Queue 16K) + Local InfoNCE + HDBSCAN(size≥12, prob≥0.55, persist≥0.20)으로 unknown cluster 안정화.</w:t>
      </w:r>
    </w:p>
    <w:p>
      <w:pPr>
        <w:spacing w:line="240" w:lineRule="auto" w:before="200" w:after="200"/>
      </w:pPr>
      <w:r>
        <w:rPr>
          <w:rFonts w:ascii="Times New Roman" w:hAnsi="Times New Roman" w:eastAsia="바탕체"/>
          <w:b/>
          <w:i w:val="0"/>
          <w:sz w:val="22"/>
        </w:rPr>
        <w:t>3. 실험 결과</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성능 향상 단계 (Weighted F1)</w:t>
      </w:r>
    </w:p>
    <w:tbl>
      <w:tblPr>
        <w:tblStyle w:val="TableGrid"/>
        <w:tblW w:type="auto" w:w="0"/>
        <w:tblLook w:firstColumn="1" w:firstRow="1" w:lastColumn="0" w:lastRow="0" w:noHBand="0" w:noVBand="1" w:val="04A0"/>
      </w:tblPr>
      <w:tblGrid>
        <w:gridCol w:w="3402"/>
        <w:gridCol w:w="3402"/>
        <w:gridCol w:w="3402"/>
      </w:tblGrid>
      <w:tr>
        <w:tc>
          <w:tcPr>
            <w:tcW w:type="dxa" w:w="3402"/>
            <w:shd w:val="clear" w:color="auto" w:fill="D9E1F2"/>
          </w:tcPr>
          <w:p>
            <w:pPr>
              <w:jc w:val="center"/>
            </w:pPr>
            <w:r>
              <w:rPr>
                <w:rFonts w:ascii="Times New Roman" w:hAnsi="Times New Roman" w:eastAsia="바탕체"/>
                <w:b/>
                <w:i w:val="0"/>
                <w:sz w:val="18"/>
              </w:rPr>
              <w:t>단계</w:t>
            </w:r>
          </w:p>
        </w:tc>
        <w:tc>
          <w:tcPr>
            <w:tcW w:type="dxa" w:w="3402"/>
            <w:shd w:val="clear" w:color="auto" w:fill="D9E1F2"/>
          </w:tcPr>
          <w:p>
            <w:pPr>
              <w:jc w:val="center"/>
            </w:pPr>
            <w:r>
              <w:rPr>
                <w:rFonts w:ascii="Times New Roman" w:hAnsi="Times New Roman" w:eastAsia="바탕체"/>
                <w:b/>
                <w:i w:val="0"/>
                <w:sz w:val="18"/>
              </w:rPr>
              <w:t>구성</w:t>
            </w:r>
          </w:p>
        </w:tc>
        <w:tc>
          <w:tcPr>
            <w:tcW w:type="dxa" w:w="3402"/>
            <w:shd w:val="clear" w:color="auto" w:fill="D9E1F2"/>
          </w:tcPr>
          <w:p>
            <w:pPr>
              <w:jc w:val="center"/>
            </w:pPr>
            <w:r>
              <w:rPr>
                <w:rFonts w:ascii="Times New Roman" w:hAnsi="Times New Roman" w:eastAsia="바탕체"/>
                <w:b/>
                <w:i w:val="0"/>
                <w:sz w:val="18"/>
              </w:rPr>
              <w:t>Weighted F1</w:t>
            </w:r>
          </w:p>
        </w:tc>
      </w:tr>
      <w:tr>
        <w:tc>
          <w:tcPr>
            <w:tcW w:type="dxa" w:w="3402"/>
          </w:tcPr>
          <w:p>
            <w:pPr>
              <w:jc w:val="left"/>
            </w:pPr>
            <w:r>
              <w:rPr>
                <w:rFonts w:ascii="Times New Roman" w:hAnsi="Times New Roman" w:eastAsia="바탕체"/>
                <w:b w:val="0"/>
                <w:i w:val="0"/>
                <w:sz w:val="18"/>
              </w:rPr>
              <w:t>Baseline CNN</w:t>
            </w:r>
          </w:p>
        </w:tc>
        <w:tc>
          <w:tcPr>
            <w:tcW w:type="dxa" w:w="3402"/>
          </w:tcPr>
          <w:p>
            <w:pPr>
              <w:jc w:val="center"/>
            </w:pPr>
            <w:r>
              <w:rPr>
                <w:rFonts w:ascii="Times New Roman" w:hAnsi="Times New Roman" w:eastAsia="바탕체"/>
                <w:b w:val="0"/>
                <w:i w:val="0"/>
                <w:sz w:val="18"/>
              </w:rPr>
              <w:t>초기 기준 모델</w:t>
            </w:r>
          </w:p>
        </w:tc>
        <w:tc>
          <w:tcPr>
            <w:tcW w:type="dxa" w:w="3402"/>
          </w:tcPr>
          <w:p>
            <w:pPr>
              <w:jc w:val="center"/>
            </w:pPr>
            <w:r>
              <w:rPr>
                <w:rFonts w:ascii="Times New Roman" w:hAnsi="Times New Roman" w:eastAsia="바탕체"/>
                <w:b w:val="0"/>
                <w:i w:val="0"/>
                <w:sz w:val="18"/>
              </w:rPr>
              <w:t>0.78</w:t>
            </w:r>
          </w:p>
        </w:tc>
      </w:tr>
      <w:tr>
        <w:tc>
          <w:tcPr>
            <w:tcW w:type="dxa" w:w="3402"/>
          </w:tcPr>
          <w:p>
            <w:pPr>
              <w:jc w:val="left"/>
            </w:pPr>
            <w:r>
              <w:rPr>
                <w:rFonts w:ascii="Times New Roman" w:hAnsi="Times New Roman" w:eastAsia="바탕체"/>
                <w:b w:val="0"/>
                <w:i w:val="0"/>
                <w:sz w:val="18"/>
              </w:rPr>
              <w:t>ConvNeXtV2-Base (HF timm)</w:t>
            </w:r>
          </w:p>
        </w:tc>
        <w:tc>
          <w:tcPr>
            <w:tcW w:type="dxa" w:w="3402"/>
          </w:tcPr>
          <w:p>
            <w:pPr>
              <w:jc w:val="center"/>
            </w:pPr>
            <w:r>
              <w:rPr>
                <w:rFonts w:ascii="Times New Roman" w:hAnsi="Times New Roman" w:eastAsia="바탕체"/>
                <w:b w:val="0"/>
                <w:i w:val="0"/>
                <w:sz w:val="18"/>
              </w:rPr>
              <w:t>backbone 교체, 384×384, IN-22k 사전학습</w:t>
            </w:r>
          </w:p>
        </w:tc>
        <w:tc>
          <w:tcPr>
            <w:tcW w:type="dxa" w:w="3402"/>
          </w:tcPr>
          <w:p>
            <w:pPr>
              <w:jc w:val="center"/>
            </w:pPr>
            <w:r>
              <w:rPr>
                <w:rFonts w:ascii="Times New Roman" w:hAnsi="Times New Roman" w:eastAsia="바탕체"/>
                <w:b w:val="0"/>
                <w:i w:val="0"/>
                <w:sz w:val="18"/>
              </w:rPr>
              <w:t>0.85</w:t>
            </w:r>
          </w:p>
        </w:tc>
      </w:tr>
      <w:tr>
        <w:tc>
          <w:tcPr>
            <w:tcW w:type="dxa" w:w="3402"/>
          </w:tcPr>
          <w:p>
            <w:pPr>
              <w:jc w:val="left"/>
            </w:pPr>
            <w:r>
              <w:rPr>
                <w:rFonts w:ascii="Times New Roman" w:hAnsi="Times New Roman" w:eastAsia="바탕체"/>
                <w:b w:val="0"/>
                <w:i w:val="0"/>
                <w:sz w:val="18"/>
              </w:rPr>
              <w:t>+ Optuna 하이퍼파라미터 탐색</w:t>
            </w:r>
          </w:p>
        </w:tc>
        <w:tc>
          <w:tcPr>
            <w:tcW w:type="dxa" w:w="3402"/>
          </w:tcPr>
          <w:p>
            <w:pPr>
              <w:jc w:val="center"/>
            </w:pPr>
            <w:r>
              <w:rPr>
                <w:rFonts w:ascii="Times New Roman" w:hAnsi="Times New Roman" w:eastAsia="바탕체"/>
                <w:b w:val="0"/>
                <w:i w:val="0"/>
                <w:sz w:val="18"/>
              </w:rPr>
              <w:t>LR·WD·scheduler·augmentation 최적화</w:t>
            </w:r>
          </w:p>
        </w:tc>
        <w:tc>
          <w:tcPr>
            <w:tcW w:type="dxa" w:w="3402"/>
          </w:tcPr>
          <w:p>
            <w:pPr>
              <w:jc w:val="center"/>
            </w:pPr>
            <w:r>
              <w:rPr>
                <w:rFonts w:ascii="Times New Roman" w:hAnsi="Times New Roman" w:eastAsia="바탕체"/>
                <w:b w:val="0"/>
                <w:i w:val="0"/>
                <w:sz w:val="18"/>
              </w:rPr>
              <w:t>0.92</w:t>
            </w:r>
          </w:p>
        </w:tc>
      </w:tr>
      <w:tr>
        <w:tc>
          <w:tcPr>
            <w:tcW w:type="dxa" w:w="3402"/>
            <w:shd w:val="clear" w:color="auto" w:fill="F2F2F2"/>
          </w:tcPr>
          <w:p>
            <w:pPr>
              <w:jc w:val="left"/>
            </w:pPr>
            <w:r>
              <w:rPr>
                <w:rFonts w:ascii="Times New Roman" w:hAnsi="Times New Roman" w:eastAsia="바탕체"/>
                <w:b/>
                <w:i w:val="0"/>
                <w:sz w:val="18"/>
              </w:rPr>
              <w:t>+ ROI enhancement + YOLO</w:t>
            </w:r>
          </w:p>
        </w:tc>
        <w:tc>
          <w:tcPr>
            <w:tcW w:type="dxa" w:w="3402"/>
            <w:shd w:val="clear" w:color="auto" w:fill="F2F2F2"/>
          </w:tcPr>
          <w:p>
            <w:pPr>
              <w:jc w:val="center"/>
            </w:pPr>
            <w:r>
              <w:rPr>
                <w:rFonts w:ascii="Times New Roman" w:hAnsi="Times New Roman" w:eastAsia="바탕체"/>
                <w:b w:val="0"/>
                <w:i w:val="0"/>
                <w:sz w:val="18"/>
              </w:rPr>
              <w:t>선택적 2-stage correction</w:t>
            </w:r>
          </w:p>
        </w:tc>
        <w:tc>
          <w:tcPr>
            <w:tcW w:type="dxa" w:w="3402"/>
            <w:shd w:val="clear" w:color="auto" w:fill="F2F2F2"/>
          </w:tcPr>
          <w:p>
            <w:pPr>
              <w:jc w:val="center"/>
            </w:pPr>
            <w:r>
              <w:rPr>
                <w:rFonts w:ascii="Times New Roman" w:hAnsi="Times New Roman" w:eastAsia="바탕체"/>
                <w:b w:val="0"/>
                <w:i w:val="0"/>
                <w:sz w:val="18"/>
              </w:rPr>
              <w:t>0.95</w:t>
            </w:r>
          </w:p>
        </w:tc>
      </w:tr>
    </w:tbl>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2. Backbone 모델 비교 (Hugging Face timm fine-tuning, Val Weighted F1)</w:t>
      </w:r>
    </w:p>
    <w:tbl>
      <w:tblPr>
        <w:tblStyle w:val="TableGrid"/>
        <w:tblW w:type="auto" w:w="0"/>
        <w:tblLook w:firstColumn="1" w:firstRow="1" w:lastColumn="0" w:lastRow="0" w:noHBand="0" w:noVBand="1" w:val="04A0"/>
      </w:tblPr>
      <w:tblGrid>
        <w:gridCol w:w="2041"/>
        <w:gridCol w:w="2041"/>
        <w:gridCol w:w="2041"/>
        <w:gridCol w:w="2041"/>
        <w:gridCol w:w="2041"/>
      </w:tblGrid>
      <w:tr>
        <w:tc>
          <w:tcPr>
            <w:tcW w:type="dxa" w:w="2041"/>
            <w:shd w:val="clear" w:color="auto" w:fill="D9E1F2"/>
          </w:tcPr>
          <w:p>
            <w:pPr>
              <w:jc w:val="center"/>
            </w:pPr>
            <w:r>
              <w:rPr>
                <w:rFonts w:ascii="Times New Roman" w:hAnsi="Times New Roman" w:eastAsia="바탕체"/>
                <w:b/>
                <w:i w:val="0"/>
                <w:sz w:val="18"/>
              </w:rPr>
              <w:t>모델</w:t>
            </w:r>
          </w:p>
        </w:tc>
        <w:tc>
          <w:tcPr>
            <w:tcW w:type="dxa" w:w="2041"/>
            <w:shd w:val="clear" w:color="auto" w:fill="D9E1F2"/>
          </w:tcPr>
          <w:p>
            <w:pPr>
              <w:jc w:val="center"/>
            </w:pPr>
            <w:r>
              <w:rPr>
                <w:rFonts w:ascii="Times New Roman" w:hAnsi="Times New Roman" w:eastAsia="바탕체"/>
                <w:b/>
                <w:i w:val="0"/>
                <w:sz w:val="18"/>
              </w:rPr>
              <w:t>사전학습</w:t>
            </w:r>
          </w:p>
        </w:tc>
        <w:tc>
          <w:tcPr>
            <w:tcW w:type="dxa" w:w="2041"/>
            <w:shd w:val="clear" w:color="auto" w:fill="D9E1F2"/>
          </w:tcPr>
          <w:p>
            <w:pPr>
              <w:jc w:val="center"/>
            </w:pPr>
            <w:r>
              <w:rPr>
                <w:rFonts w:ascii="Times New Roman" w:hAnsi="Times New Roman" w:eastAsia="바탕체"/>
                <w:b/>
                <w:i w:val="0"/>
                <w:sz w:val="18"/>
              </w:rPr>
              <w:t>Input</w:t>
            </w:r>
          </w:p>
        </w:tc>
        <w:tc>
          <w:tcPr>
            <w:tcW w:type="dxa" w:w="2041"/>
            <w:shd w:val="clear" w:color="auto" w:fill="D9E1F2"/>
          </w:tcPr>
          <w:p>
            <w:pPr>
              <w:jc w:val="center"/>
            </w:pPr>
            <w:r>
              <w:rPr>
                <w:rFonts w:ascii="Times New Roman" w:hAnsi="Times New Roman" w:eastAsia="바탕체"/>
                <w:b/>
                <w:i w:val="0"/>
                <w:sz w:val="18"/>
              </w:rPr>
              <w:t>Val F1</w:t>
            </w:r>
          </w:p>
        </w:tc>
        <w:tc>
          <w:tcPr>
            <w:tcW w:type="dxa" w:w="2041"/>
            <w:shd w:val="clear" w:color="auto" w:fill="D9E1F2"/>
          </w:tcPr>
          <w:p>
            <w:pPr>
              <w:jc w:val="center"/>
            </w:pPr>
            <w:r>
              <w:rPr>
                <w:rFonts w:ascii="Times New Roman" w:hAnsi="Times New Roman" w:eastAsia="바탕체"/>
                <w:b/>
                <w:i w:val="0"/>
                <w:sz w:val="18"/>
              </w:rPr>
              <w:t>비고</w:t>
            </w:r>
          </w:p>
        </w:tc>
      </w:tr>
      <w:tr>
        <w:tc>
          <w:tcPr>
            <w:tcW w:type="dxa" w:w="2041"/>
          </w:tcPr>
          <w:p>
            <w:pPr>
              <w:jc w:val="left"/>
            </w:pPr>
            <w:r>
              <w:rPr>
                <w:rFonts w:ascii="Times New Roman" w:hAnsi="Times New Roman" w:eastAsia="바탕체"/>
                <w:b w:val="0"/>
                <w:i w:val="0"/>
                <w:sz w:val="18"/>
              </w:rPr>
              <w:t>ViT-B/16</w:t>
            </w:r>
          </w:p>
        </w:tc>
        <w:tc>
          <w:tcPr>
            <w:tcW w:type="dxa" w:w="2041"/>
          </w:tcPr>
          <w:p>
            <w:pPr>
              <w:jc w:val="center"/>
            </w:pPr>
            <w:r>
              <w:rPr>
                <w:rFonts w:ascii="Times New Roman" w:hAnsi="Times New Roman" w:eastAsia="바탕체"/>
                <w:b w:val="0"/>
                <w:i w:val="0"/>
                <w:sz w:val="18"/>
              </w:rPr>
              <w:t>IN-21k</w:t>
            </w:r>
          </w:p>
        </w:tc>
        <w:tc>
          <w:tcPr>
            <w:tcW w:type="dxa" w:w="2041"/>
          </w:tcPr>
          <w:p>
            <w:pPr>
              <w:jc w:val="center"/>
            </w:pPr>
            <w:r>
              <w:rPr>
                <w:rFonts w:ascii="Times New Roman" w:hAnsi="Times New Roman" w:eastAsia="바탕체"/>
                <w:b w:val="0"/>
                <w:i w:val="0"/>
                <w:sz w:val="18"/>
              </w:rPr>
              <w:t>224</w:t>
            </w:r>
          </w:p>
        </w:tc>
        <w:tc>
          <w:tcPr>
            <w:tcW w:type="dxa" w:w="2041"/>
          </w:tcPr>
          <w:p>
            <w:pPr>
              <w:jc w:val="center"/>
            </w:pPr>
            <w:r>
              <w:rPr>
                <w:rFonts w:ascii="Times New Roman" w:hAnsi="Times New Roman" w:eastAsia="바탕체"/>
                <w:b w:val="0"/>
                <w:i w:val="0"/>
                <w:sz w:val="18"/>
              </w:rPr>
              <w:t>0.80</w:t>
            </w:r>
          </w:p>
        </w:tc>
        <w:tc>
          <w:tcPr>
            <w:tcW w:type="dxa" w:w="2041"/>
          </w:tcPr>
          <w:p>
            <w:pPr>
              <w:jc w:val="center"/>
            </w:pPr>
            <w:r>
              <w:rPr>
                <w:rFonts w:ascii="Times New Roman" w:hAnsi="Times New Roman" w:eastAsia="바탕체"/>
                <w:b w:val="0"/>
                <w:i w:val="0"/>
                <w:sz w:val="18"/>
              </w:rPr>
              <w:t>소규모 데이터에서 attention 학습 부족</w:t>
            </w:r>
          </w:p>
        </w:tc>
      </w:tr>
      <w:tr>
        <w:tc>
          <w:tcPr>
            <w:tcW w:type="dxa" w:w="2041"/>
          </w:tcPr>
          <w:p>
            <w:pPr>
              <w:jc w:val="left"/>
            </w:pPr>
            <w:r>
              <w:rPr>
                <w:rFonts w:ascii="Times New Roman" w:hAnsi="Times New Roman" w:eastAsia="바탕체"/>
                <w:b w:val="0"/>
                <w:i w:val="0"/>
                <w:sz w:val="18"/>
              </w:rPr>
              <w:t>EfficientNetV2-M</w:t>
            </w:r>
          </w:p>
        </w:tc>
        <w:tc>
          <w:tcPr>
            <w:tcW w:type="dxa" w:w="2041"/>
          </w:tcPr>
          <w:p>
            <w:pPr>
              <w:jc w:val="center"/>
            </w:pPr>
            <w:r>
              <w:rPr>
                <w:rFonts w:ascii="Times New Roman" w:hAnsi="Times New Roman" w:eastAsia="바탕체"/>
                <w:b w:val="0"/>
                <w:i w:val="0"/>
                <w:sz w:val="18"/>
              </w:rPr>
              <w:t>IN-1k</w:t>
            </w:r>
          </w:p>
        </w:tc>
        <w:tc>
          <w:tcPr>
            <w:tcW w:type="dxa" w:w="2041"/>
          </w:tcPr>
          <w:p>
            <w:pPr>
              <w:jc w:val="center"/>
            </w:pPr>
            <w:r>
              <w:rPr>
                <w:rFonts w:ascii="Times New Roman" w:hAnsi="Times New Roman" w:eastAsia="바탕체"/>
                <w:b w:val="0"/>
                <w:i w:val="0"/>
                <w:sz w:val="18"/>
              </w:rPr>
              <w:t>224</w:t>
            </w:r>
          </w:p>
        </w:tc>
        <w:tc>
          <w:tcPr>
            <w:tcW w:type="dxa" w:w="2041"/>
          </w:tcPr>
          <w:p>
            <w:pPr>
              <w:jc w:val="center"/>
            </w:pPr>
            <w:r>
              <w:rPr>
                <w:rFonts w:ascii="Times New Roman" w:hAnsi="Times New Roman" w:eastAsia="바탕체"/>
                <w:b w:val="0"/>
                <w:i w:val="0"/>
                <w:sz w:val="18"/>
              </w:rPr>
              <w:t>0.82</w:t>
            </w:r>
          </w:p>
        </w:tc>
        <w:tc>
          <w:tcPr>
            <w:tcW w:type="dxa" w:w="2041"/>
          </w:tcPr>
          <w:p>
            <w:pPr>
              <w:jc w:val="center"/>
            </w:pPr>
            <w:r>
              <w:rPr>
                <w:rFonts w:ascii="Times New Roman" w:hAnsi="Times New Roman" w:eastAsia="바탕체"/>
                <w:b w:val="0"/>
                <w:i w:val="0"/>
                <w:sz w:val="18"/>
              </w:rPr>
              <w:t>경량 구조, 공간 패턴 표현 한계</w:t>
            </w:r>
          </w:p>
        </w:tc>
      </w:tr>
      <w:tr>
        <w:tc>
          <w:tcPr>
            <w:tcW w:type="dxa" w:w="2041"/>
          </w:tcPr>
          <w:p>
            <w:pPr>
              <w:jc w:val="left"/>
            </w:pPr>
            <w:r>
              <w:rPr>
                <w:rFonts w:ascii="Times New Roman" w:hAnsi="Times New Roman" w:eastAsia="바탕체"/>
                <w:b w:val="0"/>
                <w:i w:val="0"/>
                <w:sz w:val="18"/>
              </w:rPr>
              <w:t>Swin-B</w:t>
            </w:r>
          </w:p>
        </w:tc>
        <w:tc>
          <w:tcPr>
            <w:tcW w:type="dxa" w:w="2041"/>
          </w:tcPr>
          <w:p>
            <w:pPr>
              <w:jc w:val="center"/>
            </w:pPr>
            <w:r>
              <w:rPr>
                <w:rFonts w:ascii="Times New Roman" w:hAnsi="Times New Roman" w:eastAsia="바탕체"/>
                <w:b w:val="0"/>
                <w:i w:val="0"/>
                <w:sz w:val="18"/>
              </w:rPr>
              <w:t>IN-1k</w:t>
            </w:r>
          </w:p>
        </w:tc>
        <w:tc>
          <w:tcPr>
            <w:tcW w:type="dxa" w:w="2041"/>
          </w:tcPr>
          <w:p>
            <w:pPr>
              <w:jc w:val="center"/>
            </w:pPr>
            <w:r>
              <w:rPr>
                <w:rFonts w:ascii="Times New Roman" w:hAnsi="Times New Roman" w:eastAsia="바탕체"/>
                <w:b w:val="0"/>
                <w:i w:val="0"/>
                <w:sz w:val="18"/>
              </w:rPr>
              <w:t>224</w:t>
            </w:r>
          </w:p>
        </w:tc>
        <w:tc>
          <w:tcPr>
            <w:tcW w:type="dxa" w:w="2041"/>
          </w:tcPr>
          <w:p>
            <w:pPr>
              <w:jc w:val="center"/>
            </w:pPr>
            <w:r>
              <w:rPr>
                <w:rFonts w:ascii="Times New Roman" w:hAnsi="Times New Roman" w:eastAsia="바탕체"/>
                <w:b w:val="0"/>
                <w:i w:val="0"/>
                <w:sz w:val="18"/>
              </w:rPr>
              <w:t>0.83</w:t>
            </w:r>
          </w:p>
        </w:tc>
        <w:tc>
          <w:tcPr>
            <w:tcW w:type="dxa" w:w="2041"/>
          </w:tcPr>
          <w:p>
            <w:pPr>
              <w:jc w:val="center"/>
            </w:pPr>
            <w:r>
              <w:rPr>
                <w:rFonts w:ascii="Times New Roman" w:hAnsi="Times New Roman" w:eastAsia="바탕체"/>
                <w:b w:val="0"/>
                <w:i w:val="0"/>
                <w:sz w:val="18"/>
              </w:rPr>
              <w:t>shifted window로 지역성 보완</w:t>
            </w:r>
          </w:p>
        </w:tc>
      </w:tr>
      <w:tr>
        <w:tc>
          <w:tcPr>
            <w:tcW w:type="dxa" w:w="2041"/>
          </w:tcPr>
          <w:p>
            <w:pPr>
              <w:jc w:val="left"/>
            </w:pPr>
            <w:r>
              <w:rPr>
                <w:rFonts w:ascii="Times New Roman" w:hAnsi="Times New Roman" w:eastAsia="바탕체"/>
                <w:b w:val="0"/>
                <w:i w:val="0"/>
                <w:sz w:val="18"/>
              </w:rPr>
              <w:t>MaxViT-T</w:t>
            </w:r>
          </w:p>
        </w:tc>
        <w:tc>
          <w:tcPr>
            <w:tcW w:type="dxa" w:w="2041"/>
          </w:tcPr>
          <w:p>
            <w:pPr>
              <w:jc w:val="center"/>
            </w:pPr>
            <w:r>
              <w:rPr>
                <w:rFonts w:ascii="Times New Roman" w:hAnsi="Times New Roman" w:eastAsia="바탕체"/>
                <w:b w:val="0"/>
                <w:i w:val="0"/>
                <w:sz w:val="18"/>
              </w:rPr>
              <w:t>IN-1k</w:t>
            </w:r>
          </w:p>
        </w:tc>
        <w:tc>
          <w:tcPr>
            <w:tcW w:type="dxa" w:w="2041"/>
          </w:tcPr>
          <w:p>
            <w:pPr>
              <w:jc w:val="center"/>
            </w:pPr>
            <w:r>
              <w:rPr>
                <w:rFonts w:ascii="Times New Roman" w:hAnsi="Times New Roman" w:eastAsia="바탕체"/>
                <w:b w:val="0"/>
                <w:i w:val="0"/>
                <w:sz w:val="18"/>
              </w:rPr>
              <w:t>224</w:t>
            </w:r>
          </w:p>
        </w:tc>
        <w:tc>
          <w:tcPr>
            <w:tcW w:type="dxa" w:w="2041"/>
          </w:tcPr>
          <w:p>
            <w:pPr>
              <w:jc w:val="center"/>
            </w:pPr>
            <w:r>
              <w:rPr>
                <w:rFonts w:ascii="Times New Roman" w:hAnsi="Times New Roman" w:eastAsia="바탕체"/>
                <w:b w:val="0"/>
                <w:i w:val="0"/>
                <w:sz w:val="18"/>
              </w:rPr>
              <w:t>0.84</w:t>
            </w:r>
          </w:p>
        </w:tc>
        <w:tc>
          <w:tcPr>
            <w:tcW w:type="dxa" w:w="2041"/>
          </w:tcPr>
          <w:p>
            <w:pPr>
              <w:jc w:val="center"/>
            </w:pPr>
            <w:r>
              <w:rPr>
                <w:rFonts w:ascii="Times New Roman" w:hAnsi="Times New Roman" w:eastAsia="바탕체"/>
                <w:b w:val="0"/>
                <w:i w:val="0"/>
                <w:sz w:val="18"/>
              </w:rPr>
              <w:t>multi-axis attention</w:t>
            </w:r>
          </w:p>
        </w:tc>
      </w:tr>
      <w:tr>
        <w:tc>
          <w:tcPr>
            <w:tcW w:type="dxa" w:w="2041"/>
            <w:shd w:val="clear" w:color="auto" w:fill="F2F2F2"/>
          </w:tcPr>
          <w:p>
            <w:pPr>
              <w:jc w:val="left"/>
            </w:pPr>
            <w:r>
              <w:rPr>
                <w:rFonts w:ascii="Times New Roman" w:hAnsi="Times New Roman" w:eastAsia="바탕체"/>
                <w:b/>
                <w:i w:val="0"/>
                <w:sz w:val="18"/>
              </w:rPr>
              <w:t>ConvNeXtV2-Base</w:t>
            </w:r>
          </w:p>
        </w:tc>
        <w:tc>
          <w:tcPr>
            <w:tcW w:type="dxa" w:w="2041"/>
            <w:shd w:val="clear" w:color="auto" w:fill="F2F2F2"/>
          </w:tcPr>
          <w:p>
            <w:pPr>
              <w:jc w:val="center"/>
            </w:pPr>
            <w:r>
              <w:rPr>
                <w:rFonts w:ascii="Times New Roman" w:hAnsi="Times New Roman" w:eastAsia="바탕체"/>
                <w:b w:val="0"/>
                <w:i w:val="0"/>
                <w:sz w:val="18"/>
              </w:rPr>
              <w:t>FCMAE+IN-22k</w:t>
            </w:r>
          </w:p>
        </w:tc>
        <w:tc>
          <w:tcPr>
            <w:tcW w:type="dxa" w:w="2041"/>
            <w:shd w:val="clear" w:color="auto" w:fill="F2F2F2"/>
          </w:tcPr>
          <w:p>
            <w:pPr>
              <w:jc w:val="center"/>
            </w:pPr>
            <w:r>
              <w:rPr>
                <w:rFonts w:ascii="Times New Roman" w:hAnsi="Times New Roman" w:eastAsia="바탕체"/>
                <w:b w:val="0"/>
                <w:i w:val="0"/>
                <w:sz w:val="18"/>
              </w:rPr>
              <w:t>384</w:t>
            </w:r>
          </w:p>
        </w:tc>
        <w:tc>
          <w:tcPr>
            <w:tcW w:type="dxa" w:w="2041"/>
            <w:shd w:val="clear" w:color="auto" w:fill="F2F2F2"/>
          </w:tcPr>
          <w:p>
            <w:pPr>
              <w:jc w:val="center"/>
            </w:pPr>
            <w:r>
              <w:rPr>
                <w:rFonts w:ascii="Times New Roman" w:hAnsi="Times New Roman" w:eastAsia="바탕체"/>
                <w:b w:val="0"/>
                <w:i w:val="0"/>
                <w:sz w:val="18"/>
              </w:rPr>
              <w:t>0.92</w:t>
            </w:r>
          </w:p>
        </w:tc>
        <w:tc>
          <w:tcPr>
            <w:tcW w:type="dxa" w:w="2041"/>
            <w:shd w:val="clear" w:color="auto" w:fill="F2F2F2"/>
          </w:tcPr>
          <w:p>
            <w:pPr>
              <w:jc w:val="center"/>
            </w:pPr>
            <w:r>
              <w:rPr>
                <w:rFonts w:ascii="Times New Roman" w:hAnsi="Times New Roman" w:eastAsia="바탕체"/>
                <w:b w:val="0"/>
                <w:i w:val="0"/>
                <w:sz w:val="18"/>
              </w:rPr>
              <w:t>1위, FCMAE 비지도 사전학습 강건</w:t>
            </w:r>
          </w:p>
        </w:tc>
      </w:tr>
    </w:tbl>
    <w:p>
      <w:pPr>
        <w:spacing w:before="0" w:after="120"/>
      </w:pPr>
      <w:r>
        <w:rPr>
          <w:sz w:val="8"/>
        </w:rPr>
      </w:r>
    </w:p>
    <w:p>
      <w:pPr>
        <w:spacing w:line="240" w:lineRule="auto" w:after="40"/>
      </w:pPr>
      <w:r>
        <w:rPr>
          <w:rFonts w:ascii="Times New Roman" w:hAnsi="Times New Roman" w:eastAsia="바탕체"/>
          <w:b w:val="0"/>
          <w:i w:val="0"/>
          <w:sz w:val="20"/>
        </w:rPr>
        <w:t>edge_loc·edge_ring·local 등 유사 패턴에서 ROI 보강 효과가 두드러졌으며, 선택적 YOLO 보정의 correction precision 90% 이상. unknown defect 평가는 Silhouette Score, 전문가 동의율, 재학습 후 F1 향상으로 측정.</w:t>
      </w:r>
    </w:p>
    <w:p>
      <w:pPr>
        <w:spacing w:before="0" w:after="0"/>
      </w:pPr>
      <w:r>
        <w:rPr>
          <w:sz w:val="8"/>
        </w:rPr>
      </w:r>
    </w:p>
    <w:p>
      <w:pPr>
        <w:spacing w:line="240" w:lineRule="auto" w:before="0" w:after="20"/>
        <w:jc w:val="left"/>
      </w:pPr>
      <w:r>
        <w:rPr>
          <w:rFonts w:ascii="Times New Roman" w:hAnsi="Times New Roman" w:eastAsia="바탕체"/>
          <w:b/>
          <w:i w:val="0"/>
          <w:sz w:val="18"/>
        </w:rPr>
        <w:t>Table 6. 방법론 비교</w:t>
      </w:r>
    </w:p>
    <w:tbl>
      <w:tblPr>
        <w:tblStyle w:val="TableGrid"/>
        <w:tblW w:type="auto" w:w="0"/>
        <w:tblLook w:firstColumn="1" w:firstRow="1" w:lastColumn="0" w:lastRow="0" w:noHBand="0" w:noVBand="1" w:val="04A0"/>
      </w:tblPr>
      <w:tblGrid>
        <w:gridCol w:w="2551"/>
        <w:gridCol w:w="2551"/>
        <w:gridCol w:w="2551"/>
        <w:gridCol w:w="2551"/>
      </w:tblGrid>
      <w:tr>
        <w:tc>
          <w:tcPr>
            <w:tcW w:type="dxa" w:w="2551"/>
            <w:shd w:val="clear" w:color="auto" w:fill="D9E1F2"/>
          </w:tcPr>
          <w:p>
            <w:pPr>
              <w:jc w:val="center"/>
            </w:pPr>
            <w:r>
              <w:rPr>
                <w:rFonts w:ascii="Times New Roman" w:hAnsi="Times New Roman" w:eastAsia="바탕체"/>
                <w:b/>
                <w:i w:val="0"/>
                <w:sz w:val="18"/>
              </w:rPr>
              <w:t>항목</w:t>
            </w:r>
          </w:p>
        </w:tc>
        <w:tc>
          <w:tcPr>
            <w:tcW w:type="dxa" w:w="2551"/>
            <w:shd w:val="clear" w:color="auto" w:fill="D9E1F2"/>
          </w:tcPr>
          <w:p>
            <w:pPr>
              <w:jc w:val="center"/>
            </w:pPr>
            <w:r>
              <w:rPr>
                <w:rFonts w:ascii="Times New Roman" w:hAnsi="Times New Roman" w:eastAsia="바탕체"/>
                <w:b/>
                <w:i w:val="0"/>
                <w:sz w:val="18"/>
              </w:rPr>
              <w:t>단일 CNN</w:t>
            </w:r>
          </w:p>
        </w:tc>
        <w:tc>
          <w:tcPr>
            <w:tcW w:type="dxa" w:w="2551"/>
            <w:shd w:val="clear" w:color="auto" w:fill="D9E1F2"/>
          </w:tcPr>
          <w:p>
            <w:pPr>
              <w:jc w:val="center"/>
            </w:pPr>
            <w:r>
              <w:rPr>
                <w:rFonts w:ascii="Times New Roman" w:hAnsi="Times New Roman" w:eastAsia="바탕체"/>
                <w:b/>
                <w:i w:val="0"/>
                <w:sz w:val="18"/>
              </w:rPr>
              <w:t>CNN+K-means</w:t>
            </w:r>
          </w:p>
        </w:tc>
        <w:tc>
          <w:tcPr>
            <w:tcW w:type="dxa" w:w="2551"/>
            <w:shd w:val="clear" w:color="auto" w:fill="D9E1F2"/>
          </w:tcPr>
          <w:p>
            <w:pPr>
              <w:jc w:val="center"/>
            </w:pPr>
            <w:r>
              <w:rPr>
                <w:rFonts w:ascii="Times New Roman" w:hAnsi="Times New Roman" w:eastAsia="바탕체"/>
                <w:b/>
                <w:i w:val="0"/>
                <w:sz w:val="18"/>
              </w:rPr>
              <w:t>본 연구</w:t>
            </w:r>
          </w:p>
        </w:tc>
      </w:tr>
      <w:tr>
        <w:tc>
          <w:tcPr>
            <w:tcW w:type="dxa" w:w="2551"/>
          </w:tcPr>
          <w:p>
            <w:pPr>
              <w:jc w:val="left"/>
            </w:pPr>
            <w:r>
              <w:rPr>
                <w:rFonts w:ascii="Times New Roman" w:hAnsi="Times New Roman" w:eastAsia="바탕체"/>
                <w:b w:val="0"/>
                <w:i w:val="0"/>
                <w:sz w:val="18"/>
              </w:rPr>
              <w:t>등록 불량 분류</w:t>
            </w:r>
          </w:p>
        </w:tc>
        <w:tc>
          <w:tcPr>
            <w:tcW w:type="dxa" w:w="2551"/>
          </w:tcPr>
          <w:p>
            <w:pPr>
              <w:jc w:val="center"/>
            </w:pPr>
            <w:r>
              <w:rPr>
                <w:rFonts w:ascii="Times New Roman" w:hAnsi="Times New Roman" w:eastAsia="바탕체"/>
                <w:b w:val="0"/>
                <w:i w:val="0"/>
                <w:sz w:val="18"/>
              </w:rPr>
              <w:t>O</w:t>
            </w:r>
          </w:p>
        </w:tc>
        <w:tc>
          <w:tcPr>
            <w:tcW w:type="dxa" w:w="2551"/>
          </w:tcPr>
          <w:p>
            <w:pPr>
              <w:jc w:val="center"/>
            </w:pPr>
            <w:r>
              <w:rPr>
                <w:rFonts w:ascii="Times New Roman" w:hAnsi="Times New Roman" w:eastAsia="바탕체"/>
                <w:b w:val="0"/>
                <w:i w:val="0"/>
                <w:sz w:val="18"/>
              </w:rPr>
              <w:t>O</w:t>
            </w:r>
          </w:p>
        </w:tc>
        <w:tc>
          <w:tcPr>
            <w:tcW w:type="dxa" w:w="2551"/>
          </w:tcPr>
          <w:p>
            <w:pPr>
              <w:jc w:val="center"/>
            </w:pPr>
            <w:r>
              <w:rPr>
                <w:rFonts w:ascii="Times New Roman" w:hAnsi="Times New Roman" w:eastAsia="바탕체"/>
                <w:b w:val="0"/>
                <w:i w:val="0"/>
                <w:sz w:val="18"/>
              </w:rPr>
              <w:t>O</w:t>
            </w:r>
          </w:p>
        </w:tc>
      </w:tr>
      <w:tr>
        <w:tc>
          <w:tcPr>
            <w:tcW w:type="dxa" w:w="2551"/>
          </w:tcPr>
          <w:p>
            <w:pPr>
              <w:jc w:val="left"/>
            </w:pPr>
            <w:r>
              <w:rPr>
                <w:rFonts w:ascii="Times New Roman" w:hAnsi="Times New Roman" w:eastAsia="바탕체"/>
                <w:b w:val="0"/>
                <w:i w:val="0"/>
                <w:sz w:val="18"/>
              </w:rPr>
              <w:t>미등록 불량 탐지</w:t>
            </w:r>
          </w:p>
        </w:tc>
        <w:tc>
          <w:tcPr>
            <w:tcW w:type="dxa" w:w="2551"/>
          </w:tcPr>
          <w:p>
            <w:pPr>
              <w:jc w:val="center"/>
            </w:pPr>
            <w:r>
              <w:rPr>
                <w:rFonts w:ascii="Times New Roman" w:hAnsi="Times New Roman" w:eastAsia="바탕체"/>
                <w:b w:val="0"/>
                <w:i w:val="0"/>
                <w:sz w:val="18"/>
              </w:rPr>
              <w:t>X</w:t>
            </w:r>
          </w:p>
        </w:tc>
        <w:tc>
          <w:tcPr>
            <w:tcW w:type="dxa" w:w="2551"/>
          </w:tcPr>
          <w:p>
            <w:pPr>
              <w:jc w:val="center"/>
            </w:pPr>
            <w:r>
              <w:rPr>
                <w:rFonts w:ascii="Times New Roman" w:hAnsi="Times New Roman" w:eastAsia="바탕체"/>
                <w:b w:val="0"/>
                <w:i w:val="0"/>
                <w:sz w:val="18"/>
              </w:rPr>
              <w:t>△</w:t>
            </w:r>
          </w:p>
        </w:tc>
        <w:tc>
          <w:tcPr>
            <w:tcW w:type="dxa" w:w="2551"/>
          </w:tcPr>
          <w:p>
            <w:pPr>
              <w:jc w:val="center"/>
            </w:pPr>
            <w:r>
              <w:rPr>
                <w:rFonts w:ascii="Times New Roman" w:hAnsi="Times New Roman" w:eastAsia="바탕체"/>
                <w:b w:val="0"/>
                <w:i w:val="0"/>
                <w:sz w:val="18"/>
              </w:rPr>
              <w:t>O</w:t>
            </w:r>
          </w:p>
        </w:tc>
      </w:tr>
      <w:tr>
        <w:tc>
          <w:tcPr>
            <w:tcW w:type="dxa" w:w="2551"/>
          </w:tcPr>
          <w:p>
            <w:pPr>
              <w:jc w:val="left"/>
            </w:pPr>
            <w:r>
              <w:rPr>
                <w:rFonts w:ascii="Times New Roman" w:hAnsi="Times New Roman" w:eastAsia="바탕체"/>
                <w:b w:val="0"/>
                <w:i w:val="0"/>
                <w:sz w:val="18"/>
              </w:rPr>
              <w:t>라벨 오류 탐지</w:t>
            </w:r>
          </w:p>
        </w:tc>
        <w:tc>
          <w:tcPr>
            <w:tcW w:type="dxa" w:w="2551"/>
          </w:tcPr>
          <w:p>
            <w:pPr>
              <w:jc w:val="center"/>
            </w:pPr>
            <w:r>
              <w:rPr>
                <w:rFonts w:ascii="Times New Roman" w:hAnsi="Times New Roman" w:eastAsia="바탕체"/>
                <w:b w:val="0"/>
                <w:i w:val="0"/>
                <w:sz w:val="18"/>
              </w:rPr>
              <w:t>X</w:t>
            </w:r>
          </w:p>
        </w:tc>
        <w:tc>
          <w:tcPr>
            <w:tcW w:type="dxa" w:w="2551"/>
          </w:tcPr>
          <w:p>
            <w:pPr>
              <w:jc w:val="center"/>
            </w:pPr>
            <w:r>
              <w:rPr>
                <w:rFonts w:ascii="Times New Roman" w:hAnsi="Times New Roman" w:eastAsia="바탕체"/>
                <w:b w:val="0"/>
                <w:i w:val="0"/>
                <w:sz w:val="18"/>
              </w:rPr>
              <w:t>X</w:t>
            </w:r>
          </w:p>
        </w:tc>
        <w:tc>
          <w:tcPr>
            <w:tcW w:type="dxa" w:w="2551"/>
          </w:tcPr>
          <w:p>
            <w:pPr>
              <w:jc w:val="center"/>
            </w:pPr>
            <w:r>
              <w:rPr>
                <w:rFonts w:ascii="Times New Roman" w:hAnsi="Times New Roman" w:eastAsia="바탕체"/>
                <w:b w:val="0"/>
                <w:i w:val="0"/>
                <w:sz w:val="18"/>
              </w:rPr>
              <w:t>O</w:t>
            </w:r>
          </w:p>
        </w:tc>
      </w:tr>
      <w:tr>
        <w:tc>
          <w:tcPr>
            <w:tcW w:type="dxa" w:w="2551"/>
          </w:tcPr>
          <w:p>
            <w:pPr>
              <w:jc w:val="left"/>
            </w:pPr>
            <w:r>
              <w:rPr>
                <w:rFonts w:ascii="Times New Roman" w:hAnsi="Times New Roman" w:eastAsia="바탕체"/>
                <w:b w:val="0"/>
                <w:i w:val="0"/>
                <w:sz w:val="18"/>
              </w:rPr>
              <w:t>클러스터 수 자동</w:t>
            </w:r>
          </w:p>
        </w:tc>
        <w:tc>
          <w:tcPr>
            <w:tcW w:type="dxa" w:w="2551"/>
          </w:tcPr>
          <w:p>
            <w:pPr>
              <w:jc w:val="center"/>
            </w:pPr>
            <w:r>
              <w:rPr>
                <w:rFonts w:ascii="Times New Roman" w:hAnsi="Times New Roman" w:eastAsia="바탕체"/>
                <w:b w:val="0"/>
                <w:i w:val="0"/>
                <w:sz w:val="18"/>
              </w:rPr>
              <w:t>—</w:t>
            </w:r>
          </w:p>
        </w:tc>
        <w:tc>
          <w:tcPr>
            <w:tcW w:type="dxa" w:w="2551"/>
          </w:tcPr>
          <w:p>
            <w:pPr>
              <w:jc w:val="center"/>
            </w:pPr>
            <w:r>
              <w:rPr>
                <w:rFonts w:ascii="Times New Roman" w:hAnsi="Times New Roman" w:eastAsia="바탕체"/>
                <w:b w:val="0"/>
                <w:i w:val="0"/>
                <w:sz w:val="18"/>
              </w:rPr>
              <w:t>X</w:t>
            </w:r>
          </w:p>
        </w:tc>
        <w:tc>
          <w:tcPr>
            <w:tcW w:type="dxa" w:w="2551"/>
          </w:tcPr>
          <w:p>
            <w:pPr>
              <w:jc w:val="center"/>
            </w:pPr>
            <w:r>
              <w:rPr>
                <w:rFonts w:ascii="Times New Roman" w:hAnsi="Times New Roman" w:eastAsia="바탕체"/>
                <w:b w:val="0"/>
                <w:i w:val="0"/>
                <w:sz w:val="18"/>
              </w:rPr>
              <w:t>O</w:t>
            </w:r>
          </w:p>
        </w:tc>
      </w:tr>
      <w:tr>
        <w:tc>
          <w:tcPr>
            <w:tcW w:type="dxa" w:w="2551"/>
          </w:tcPr>
          <w:p>
            <w:pPr>
              <w:jc w:val="left"/>
            </w:pPr>
            <w:r>
              <w:rPr>
                <w:rFonts w:ascii="Times New Roman" w:hAnsi="Times New Roman" w:eastAsia="바탕체"/>
                <w:b w:val="0"/>
                <w:i w:val="0"/>
                <w:sz w:val="18"/>
              </w:rPr>
              <w:t>설명 가능성(Grad-CAM)</w:t>
            </w:r>
          </w:p>
        </w:tc>
        <w:tc>
          <w:tcPr>
            <w:tcW w:type="dxa" w:w="2551"/>
          </w:tcPr>
          <w:p>
            <w:pPr>
              <w:jc w:val="center"/>
            </w:pPr>
            <w:r>
              <w:rPr>
                <w:rFonts w:ascii="Times New Roman" w:hAnsi="Times New Roman" w:eastAsia="바탕체"/>
                <w:b w:val="0"/>
                <w:i w:val="0"/>
                <w:sz w:val="18"/>
              </w:rPr>
              <w:t>X</w:t>
            </w:r>
          </w:p>
        </w:tc>
        <w:tc>
          <w:tcPr>
            <w:tcW w:type="dxa" w:w="2551"/>
          </w:tcPr>
          <w:p>
            <w:pPr>
              <w:jc w:val="center"/>
            </w:pPr>
            <w:r>
              <w:rPr>
                <w:rFonts w:ascii="Times New Roman" w:hAnsi="Times New Roman" w:eastAsia="바탕체"/>
                <w:b w:val="0"/>
                <w:i w:val="0"/>
                <w:sz w:val="18"/>
              </w:rPr>
              <w:t>X</w:t>
            </w:r>
          </w:p>
        </w:tc>
        <w:tc>
          <w:tcPr>
            <w:tcW w:type="dxa" w:w="2551"/>
          </w:tcPr>
          <w:p>
            <w:pPr>
              <w:jc w:val="center"/>
            </w:pPr>
            <w:r>
              <w:rPr>
                <w:rFonts w:ascii="Times New Roman" w:hAnsi="Times New Roman" w:eastAsia="바탕체"/>
                <w:b w:val="0"/>
                <w:i w:val="0"/>
                <w:sz w:val="18"/>
              </w:rPr>
              <w:t>O</w:t>
            </w:r>
          </w:p>
        </w:tc>
      </w:tr>
      <w:tr>
        <w:tc>
          <w:tcPr>
            <w:tcW w:type="dxa" w:w="2551"/>
            <w:shd w:val="clear" w:color="auto" w:fill="F2F2F2"/>
          </w:tcPr>
          <w:p>
            <w:pPr>
              <w:jc w:val="left"/>
            </w:pPr>
            <w:r>
              <w:rPr>
                <w:rFonts w:ascii="Times New Roman" w:hAnsi="Times New Roman" w:eastAsia="바탕체"/>
                <w:b/>
                <w:i w:val="0"/>
                <w:sz w:val="18"/>
              </w:rPr>
              <w:t>Weighted F1</w:t>
            </w:r>
          </w:p>
        </w:tc>
        <w:tc>
          <w:tcPr>
            <w:tcW w:type="dxa" w:w="2551"/>
            <w:shd w:val="clear" w:color="auto" w:fill="F2F2F2"/>
          </w:tcPr>
          <w:p>
            <w:pPr>
              <w:jc w:val="center"/>
            </w:pPr>
            <w:r>
              <w:rPr>
                <w:rFonts w:ascii="Times New Roman" w:hAnsi="Times New Roman" w:eastAsia="바탕체"/>
                <w:b w:val="0"/>
                <w:i w:val="0"/>
                <w:sz w:val="18"/>
              </w:rPr>
              <w:t>0.92</w:t>
            </w:r>
          </w:p>
        </w:tc>
        <w:tc>
          <w:tcPr>
            <w:tcW w:type="dxa" w:w="2551"/>
            <w:shd w:val="clear" w:color="auto" w:fill="F2F2F2"/>
          </w:tcPr>
          <w:p>
            <w:pPr>
              <w:jc w:val="center"/>
            </w:pPr>
            <w:r>
              <w:rPr>
                <w:rFonts w:ascii="Times New Roman" w:hAnsi="Times New Roman" w:eastAsia="바탕체"/>
                <w:b w:val="0"/>
                <w:i w:val="0"/>
                <w:sz w:val="18"/>
              </w:rPr>
              <w:t>0.92</w:t>
            </w:r>
          </w:p>
        </w:tc>
        <w:tc>
          <w:tcPr>
            <w:tcW w:type="dxa" w:w="2551"/>
            <w:shd w:val="clear" w:color="auto" w:fill="F2F2F2"/>
          </w:tcPr>
          <w:p>
            <w:pPr>
              <w:jc w:val="center"/>
            </w:pPr>
            <w:r>
              <w:rPr>
                <w:rFonts w:ascii="Times New Roman" w:hAnsi="Times New Roman" w:eastAsia="바탕체"/>
                <w:b w:val="0"/>
                <w:i w:val="0"/>
                <w:sz w:val="18"/>
              </w:rPr>
              <w:t>0.95</w:t>
            </w:r>
          </w:p>
        </w:tc>
      </w:tr>
    </w:tbl>
    <w:p>
      <w:pPr>
        <w:spacing w:before="0" w:after="120"/>
      </w:pPr>
      <w:r>
        <w:rPr>
          <w:sz w:val="8"/>
        </w:rPr>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ConvNeXtV2 + Optuna로 F1 0.92, 선택적 ROI + YOLO로 0.95, InfoNCE + HDBSCAN으로 unknown 자동 군집화, palette PNG·FBT/QVL 정합으로 multimodal 기반을 구축하였다. 향후 칩 레벨 다중 라벨, 이미지+계측 multimodal 모델, 전체 제품군 확대를 예정한다.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 57th ACM/IEEE DAC, pp. 1-6, 2020.</w:t>
      </w:r>
    </w:p>
    <w:p>
      <w:pPr>
        <w:spacing w:line="240" w:lineRule="auto" w:after="20"/>
        <w:ind w:left="283" w:hanging="283"/>
      </w:pPr>
      <w:r>
        <w:rPr>
          <w:rFonts w:ascii="Times New Roman" w:hAnsi="Times New Roman" w:eastAsia="바탕체"/>
          <w:b w:val="0"/>
          <w:i w:val="0"/>
          <w:sz w:val="18"/>
        </w:rPr>
        <w:t>[3] P. Khosla et al., "Supervised Contrastive Learning," in NeurIPS, vol. 33, pp. 18661-18673, 2020.</w:t>
      </w:r>
    </w:p>
    <w:p>
      <w:pPr>
        <w:spacing w:line="240" w:lineRule="auto" w:after="20"/>
        <w:ind w:left="283" w:hanging="283"/>
      </w:pPr>
      <w:r>
        <w:rPr>
          <w:rFonts w:ascii="Times New Roman" w:hAnsi="Times New Roman" w:eastAsia="바탕체"/>
          <w:b w:val="0"/>
          <w:i w:val="0"/>
          <w:sz w:val="18"/>
        </w:rPr>
        <w:t>[4] J. Jang and G. T. Lee, "Decision Fusion Approach for Detecting Unknown Wafer Bin Map Patterns Based on a Deep Multitask Learning Model," Expert Systems with Applications, vol. 213, 2023.</w:t>
      </w:r>
    </w:p>
    <w:p>
      <w:pPr>
        <w:spacing w:line="240" w:lineRule="auto" w:after="20"/>
        <w:ind w:left="283" w:hanging="283"/>
      </w:pPr>
      <w:r>
        <w:rPr>
          <w:rFonts w:ascii="Times New Roman" w:hAnsi="Times New Roman" w:eastAsia="바탕체"/>
          <w:b w:val="0"/>
          <w:i w:val="0"/>
          <w:sz w:val="18"/>
        </w:rPr>
        <w:t>[5] S. Woo et al., "ConvNeXt V2: Co-Designing and Scaling ConvNets With Masked Autoencoders," in Proc. CVPR, pp. 16133-16142, 2023.</w:t>
      </w:r>
    </w:p>
    <w:p>
      <w:pPr>
        <w:spacing w:line="240" w:lineRule="auto" w:after="20"/>
        <w:ind w:left="283" w:hanging="283"/>
      </w:pPr>
      <w:r>
        <w:rPr>
          <w:rFonts w:ascii="Times New Roman" w:hAnsi="Times New Roman" w:eastAsia="바탕체"/>
          <w:b w:val="0"/>
          <w:i w:val="0"/>
          <w:sz w:val="18"/>
        </w:rPr>
        <w:t>[6] R. R. Selvaraju et al., "Grad-CAM: Visual Explanations From Deep Networks via Gradient-Based Localization," in Proc. ICCV, pp. 618-626, 2017.</w:t>
      </w:r>
    </w:p>
    <w:sectPr w:rsidR="00FC693F" w:rsidRPr="0006063C" w:rsidSect="00034616">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