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EDS(Electrical Die Sorting) Test에서 생성되는 웨이퍼당 약 1,000만 pixel 규모의 초고해상도 공간 데이터로, 불량의 위치·밀집도·형상·방향성을 정밀하게 보여주는 수율 저하 원인 분석의 핵심 자료이다. 그러나 현업에서는 대량의 Failbit Map을 생성·저장·조회할 수 있는 환경이 부족하여(기존 분석 환경 기준 한 번에 48매 이하), 불량 여부와 유형 판단이 엔지니어의 수작업 확인에 의존해 전수 분석이 어렵다. 본 논문은 이를 해결하기 위해 Test Log를 변환하여 대규모 Failbit Map을 생성·저장하는 데이터 파이프라인과 Known·Unknown 불량을 통합 분석하는 AI 아키텍처를 End-to-End 구조로 구현하였다. 파이프라인은 palette-indexed PNG로 이미지 용량을 약 75% 절감하고, 실시간 Log 수집과 1시간 주기 Map 생성을 통해 대량 운영 기반을 확보하였다. Known 경로는 ConvNeXtV2-Base를 주 분류기로 사용하고, Wafer 내 발생 영역이 유사하여 혼동이 집중되는 저신뢰 샘플에 한해 Grad-CAM ROI 기반 YOLO를 선택적으로 적용하는 2단계 구조로 설계하여 16-class weighted F1을 baseline 0.78에서 0.95까지 향상시켰다. Unknown 경로는 레이블 없이 SimCLR 계열 contrastive learning으로 표현 공간을 학습하고, Wafer의 zone 기반 불량 해석 특성을 반영하기 위해 grid structured local sampling을 적용하였다. 양산 5일치 약 10,000장으로 표현 공간을 학습한 뒤 별도 1일치 2,000장에 대해 추론한 결과 13개 후보 그룹으로 압축되었고(검토 단위 약 154배 축소), 현업 엔지니어 검증을 통해 이 중 7개가 실제 의미 있는 불량 그룹으로 확인되었다. 나머지 후보 역시 1 lot 편중 패턴 또는 이상 이미지로 정리되어 후속 검토 리스트로 활용되었다. 본 연구는 제안 아키텍처가 실제 대량 불량 분석 환경에서 운용 가능함을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 첫째, 대량 Raw Data 적재 체계와 전수 Failbit Map 생성 파이프라인을 구축하고 palette-indexed PNG로 이미지 용량을 약 75% 절감하여 End-to-End 운영 기반을 마련하였다. 둘째, Known 불량 정밀 분류를 위해 ConvNeXt V2와 ROI 기반 YOLO를 결합한 2단계 구조를 제안하여 전역 패턴과 국소 위치 정보를 함께 활용하도록 하였다. 셋째, Unknown 불량 검출을 위해 SimCLR 계열 contrastive learning 기반 분석 구조와 grid structured local sampling을 적용하여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설비 로그에서 raw data를 대량 수집·적재하는 전용 파이프라인을 구축하였다. 핵심 병목인 raw hex block을 2글자씩 읽어 grade로 변환하는 루틴을 Cython으로 전환하여 변환 속도를 약 100배 향상시켰다. 변환은 식 (1)과 같이 hex 문자열 h를 정수 v로 해석한 뒤 grade g로 매핑한다.</w:t>
      </w:r>
    </w:p>
    <w:p>
      <w:pPr>
        <w:spacing w:line="240" w:lineRule="auto" w:before="40" w:after="80"/>
        <w:jc w:val="center"/>
      </w:pPr>
      <w:r>
        <w:rPr>
          <w:rFonts w:ascii="Times New Roman" w:hAnsi="Times New Roman" w:eastAsia="바탕체"/>
          <w:b w:val="0"/>
          <w:i/>
          <w:sz w:val="20"/>
        </w:rPr>
        <w:t>v = int(h, 16),   g(v) = max(v − 9, 0)</w:t>
      </w:r>
      <w:r>
        <w:rPr>
          <w:rFonts w:ascii="Times New Roman" w:hAnsi="Times New Roman" w:eastAsia="바탕체"/>
          <w:b w:val="0"/>
          <w:i w:val="0"/>
          <w:sz w:val="20"/>
        </w:rPr>
        <w:t xml:space="preserve">        (1)</w:t>
      </w:r>
    </w:p>
    <w:p>
      <w:pPr>
        <w:spacing w:line="240" w:lineRule="auto" w:after="40"/>
      </w:pPr>
      <w:r>
        <w:rPr>
          <w:rFonts w:ascii="Times New Roman" w:hAnsi="Times New Roman" w:eastAsia="바탕체"/>
          <w:b w:val="0"/>
          <w:i w:val="0"/>
          <w:sz w:val="20"/>
        </w:rPr>
        <w:t>또한 Failbit Map이 grade 0~7과 boundary 등 제한된 이산 색상만을 사용하는 특성을 활용하여 32-color palette-indexed PNG로 저장함으로써, 식 (2)와 같이 각 pixel이 RGB 값 대신 palette index만 보유하도록 하여 RGB 대비 약 75%의 용량을 절감하였다.</w:t>
      </w:r>
    </w:p>
    <w:p>
      <w:pPr>
        <w:spacing w:line="240" w:lineRule="auto" w:before="40" w:after="80"/>
        <w:jc w:val="center"/>
      </w:pPr>
      <w:r>
        <w:rPr>
          <w:rFonts w:ascii="Times New Roman" w:hAnsi="Times New Roman" w:eastAsia="바탕체"/>
          <w:b w:val="0"/>
          <w:i/>
          <w:sz w:val="20"/>
        </w:rPr>
        <w:t>I_RGB(x, y) = P[ I_IDX(x, y) ],   I_IDX(x, y) ∈ {0, …, 31}</w:t>
      </w:r>
      <w:r>
        <w:rPr>
          <w:rFonts w:ascii="Times New Roman" w:hAnsi="Times New Roman" w:eastAsia="바탕체"/>
          <w:b w:val="0"/>
          <w:i w:val="0"/>
          <w:sz w:val="20"/>
        </w:rPr>
        <w:t xml:space="preserve">        (2)</w:t>
      </w:r>
    </w:p>
    <w:p>
      <w:pPr>
        <w:spacing w:line="240" w:lineRule="auto" w:after="40"/>
      </w:pPr>
      <w:r>
        <w:rPr>
          <w:rFonts w:ascii="Times New Roman" w:hAnsi="Times New Roman" w:eastAsia="바탕체"/>
          <w:b w:val="0"/>
          <w:i w:val="0"/>
          <w:sz w:val="20"/>
        </w:rPr>
        <w:t>전체 파이프라인은 서버에서 1시간 주기로 자동 실행되며, Measure 로그와 wafer ID 기준으로 매칭하여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F1 0.78→0.92를 달성하였다. arc/ring·edge_loc/edge_ring 등 wafer 내 발생 영역이 중첩되는 유사 클래스 쌍은 전역 문맥만으로 분리가 어려워 confidence가 낮게 나오므로, confidence &lt; 0.80 샘플에 한해 Grad-CAM ROI [6]를 추출하고 YOLO [9]가 chip 단위로 재검토하여 최종 F1 0.95를 달성하였다(Fig. 1).</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클래스를 정의할 수 없으므로 후보 grouping 문제로 정의하고, 라벨 비의존 InfoNCE(SimCLR [7])와 6×6 grid structured local sampling으로 임베딩을 학습한다. 이는 발생 위치·형상이 공정 원인과 직결된다는 도메인 지식을 반영한 것이다. 5일치 운영 이미지(약 10,000장)로 학습 후 하루 전체 Map(약 2,000장)에 HDBSCAN [8](size≥12, prob≥0.55)을 적용하여 13개 후보 그룹으로 압축하였다(Fig. 2). 엔지니어 검토 결과 13개 그룹 모두 설명 가능한 패턴이었고, 이 중 7개(53.8%)가 신규 불량, 나머지 6개는 1 lot 내 일시적 헌팅 또는 이미지 이상으로 식별되었다.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환경을 대상으로 하므로, backbone 선택은 F1과 추론 처리량을 함께 고려하였다. 공정 비교를 위해 각 계열의 Base/M급(약 70~100M params) variant를 대상으로 하였고, 1시간 주기 처리량 여유 확보를 위해 Large 이상은 제외하였다. MaxViT-Base와 ConvNeXtV2-Base는 F1 0.87로 동등하였으나 추론 속도가 더 빠른 ConvNeXtV2-Base를 최종 backbone으로 채택하였으며, Optuna HPO로 F1 0.92, 저신뢰 샘플에 대한 선택적 ROI-YOLO 보정으로 최종 F1 0.95를 달성하였다. Unknown 탐지에서는 하루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공정 도메인 지식을 AI 설계에 반영한 Known·Unknown 통합 아키텍처를 제안하였다. Known 경로는 ConvNeXtV2+선택적 ROI-YOLO 2단계 구조로 F1 0.95를, Unknown 경로는 structured local sampling 기반 표현 학습으로 라벨 없는 운영 이미지에서 신규 불량 후보를 자동 발굴하였다. 향후 FTN·QTN을 입력으로 하는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