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규모의 초고해상도 공간 데이터로, 불량 분석의 핵심 자료이다. 그러나 현업에서는 대량 Map의 생성·조회 환경이 부족하고 불량 판단이 엔지니어의 수작업에 의존해 전수 분석이 어렵다. 본 논문은 대규모 Failbit Map 생성·저장 파이프라인과 Known·Unknown 불량 통합 분석 AI 아키텍처를 End-to-End 구조로 구현하였다. Known 경로는 ConvNeXtV2-Base와 저신뢰 샘플 선택적 ROI-YOLO를 결합한 2단계 구조로 16-class weighted F1 0.78→0.95를 달성하였다. Unknown 경로는 SimCLR 계열 contrastive learning과 grid structured local sampling으로 5일치 10,000장을 학습한 뒤 1일치 2,000장을 13개 후보 그룹으로 압축하였으며(154배 축소), 현업 엔지니어 검증을 통해 7개가 실제 불량 그룹으로 확인되었다.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이로 인해 수율 저하 원인 추적에 사각지대가 발생할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두 제약은 독립적이지 않다. 파이프라인이 없으면 AI 학습·운영에 필요한 입력 데이터를 확보할 수 없고, AI가 없으면 생성된 Map 역시 수작업 판정 병목을 해소하지 못한다. 본 논문은 대량 Raw Data를 처리하는 데이터 파이프라인과 Failbit Map 기반 Known 불량 분류 및 Unknown 불량 검출을 통합한 AI 아키텍처를 하나의 End-to-End 분석 구조로 구현하여 실데이터에 적용·검증하였다.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20"/>
      </w:pPr>
      <w:r>
        <w:rPr>
          <w:rFonts w:ascii="Times New Roman" w:hAnsi="Times New Roman" w:eastAsia="바탕체"/>
          <w:b w:val="0"/>
          <w:i w:val="0"/>
          <w:sz w:val="20"/>
        </w:rPr>
        <w:t>설비 로그에서 raw data를 대량 수집·적재하는 전용 파이프라인을 구축하였다. 핵심 병목인 hex→grade 변환 루틴을 Cython으로 전환하여 약 100배 향상시켰으며, 변환은 식 (1)과 같이 hex 문자열을 정수로 해석 후 grade로 매핑한다.</w:t>
      </w:r>
    </w:p>
    <w:p>
      <w:pPr>
        <w:spacing w:line="240" w:lineRule="auto" w:before="40" w:after="80"/>
        <w:jc w:val="center"/>
      </w:pPr>
      <w:r>
        <w:rPr>
          <w:rFonts w:ascii="Times New Roman" w:hAnsi="Times New Roman" w:eastAsia="바탕체"/>
          <w:b w:val="0"/>
          <w:i/>
          <w:sz w:val="20"/>
        </w:rPr>
        <w:t>v = int(h, 16),   g(v) = max(v − 9, 0)</w:t>
      </w:r>
      <w:r>
        <w:rPr>
          <w:rFonts w:ascii="Times New Roman" w:hAnsi="Times New Roman" w:eastAsia="바탕체"/>
          <w:b w:val="0"/>
          <w:i w:val="0"/>
          <w:sz w:val="20"/>
        </w:rPr>
        <w:t xml:space="preserve">        (1)</w:t>
      </w:r>
    </w:p>
    <w:p>
      <w:pPr>
        <w:spacing w:line="240" w:lineRule="auto" w:after="20"/>
      </w:pPr>
      <w:r>
        <w:rPr>
          <w:rFonts w:ascii="Times New Roman" w:hAnsi="Times New Roman" w:eastAsia="바탕체"/>
          <w:b w:val="0"/>
          <w:i w:val="0"/>
          <w:sz w:val="20"/>
        </w:rPr>
        <w:t>Failbit Map은 grade 0~7과 boundary 등 제한된 색상만 사용하므로 32-color palette-indexed PNG(식 2)로 저장하여 RGB 대비 약 75% 용량을 절감하였다. 파이프라인은 서버에서 1시간 주기로 자동 실행되며 chip별 FTN·QTN·BIN을 사전 적재한다.</w:t>
      </w:r>
    </w:p>
    <w:p>
      <w:pPr>
        <w:spacing w:line="240" w:lineRule="auto" w:before="40" w:after="80"/>
        <w:jc w:val="center"/>
      </w:pPr>
      <w:r>
        <w:rPr>
          <w:rFonts w:ascii="Times New Roman" w:hAnsi="Times New Roman" w:eastAsia="바탕체"/>
          <w:b w:val="0"/>
          <w:i/>
          <w:sz w:val="20"/>
        </w:rPr>
        <w:t>I_RGB(x,y) = P[I_IDX(x,y)],  I_IDX ∈ {0,…,31}</w:t>
      </w:r>
      <w:r>
        <w:rPr>
          <w:rFonts w:ascii="Times New Roman" w:hAnsi="Times New Roman" w:eastAsia="바탕체"/>
          <w:b w:val="0"/>
          <w:i w:val="0"/>
          <w:sz w:val="20"/>
        </w:rPr>
        <w:t xml:space="preserve">        (2)</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F1 0.78→0.92를 달성하였다. arc/ring·edge_loc/edge_ring 등 wafer 내 발생 영역이 중첩되는 유사 클래스 쌍은 전역 문맥만으로 분리가 어려워 confidence가 낮게 나오므로, confidence &lt; 0.80 샘플에 한해 Grad-CAM ROI [6]를 추출하고 YOLO [9]가 chip 단위로 재검토하여 최종 F1 0.95를 달성하였다(Fig. 1).</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893668"/>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340000" cy="893668"/>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클래스를 정의할 수 없으므로 후보 grouping 문제로 정의하고, 라벨 비의존 InfoNCE(SimCLR [7])와 6×6 grid structured local sampling으로 임베딩을 학습한다. 이는 발생 위치·형상이 공정 원인과 직결된다는 도메인 지식을 반영한 것이다. 5일치 운영 이미지(약 10,000장)로 학습 후 하루 전체 Map(약 2,000장)에 HDBSCAN [8](size≥12, prob≥0.55)을 적용하여 13개 후보 그룹으로 압축하였다(Fig. 2). 엔지니어 검토 결과 13개 그룹 모두 설명 가능한 패턴이었고, 이 중 7개(53.8%)가 신규 불량, 나머지 6개는 1 lot 내 일시적 헌팅 또는 이미지 이상으로 식별되었다.</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578832"/>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340000" cy="578832"/>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하루 약 2,000장의 Wafer가 1시간 주기로 발생하는 운영 환경을 대상으로 하므로, backbone 선택은 F1과 추론 처리량을 함께 고려하였다. 공정 비교를 위해 각 계열의 Base/M급(약 70~100M params) variant를 대상으로 하였고, 1시간 주기 처리량 여유 확보를 위해 Large 이상은 제외하였다. MaxViT-Base와 ConvNeXtV2-Base는 F1 0.87로 동등하였으나 추론 속도가 더 빠른 ConvNeXtV2-Base를 최종 backbone으로 채택하였으며, Optuna HPO로 F1 0.92, 저신뢰 샘플에 대한 선택적 ROI-YOLO 보정으로 최종 F1 0.95를 달성하였다. Unknown 탐지에서는 하루 2,000장이 13개 후보 그룹으로 자동 압축되어(154배 축소) 담당 엔지니어 검토 결과 7개(53.8%)는 신규 불량, 나머지 6개는 헌팅 또는 이미지 이상으로 정리되었다. Unknown 결과의 핵심은 단순 군집 정확도가 아니라, 대량 운영 이미지에서 실제 검토 가치 있는 후보 리스트를 안정적으로 생성했다는 점이다.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공정 도메인 지식을 AI 설계에 반영한 Known·Unknown 통합 아키텍처를 제안하였다. Known 경로는 ConvNeXtV2+선택적 ROI-YOLO 2단계 구조로 F1 0.95를, Unknown 경로는 structured local sampling 기반 표현 학습으로 라벨 없는 운영 이미지에서 신규 불량 후보를 자동 발굴하였다. 향후 FTN·QTN을 입력으로 하는 multimodal 융합으로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