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80"/>
        <w:jc w:val="center"/>
      </w:pPr>
      <w:r>
        <w:rPr>
          <w:rFonts w:ascii="Times New Roman" w:hAnsi="Times New Roman" w:eastAsia="바탕체"/>
          <w:b/>
          <w:i w:val="0"/>
          <w:sz w:val="40"/>
        </w:rPr>
        <w:t>DRAM Failbit Map 기반 Known·Unknown 불량 분류·검출 아키텍처</w:t>
      </w:r>
    </w:p>
    <w:p>
      <w:pPr>
        <w:spacing w:line="240" w:lineRule="auto" w:after="80"/>
        <w:jc w:val="center"/>
      </w:pPr>
      <w:r>
        <w:rPr>
          <w:rFonts w:ascii="Times New Roman" w:hAnsi="Times New Roman" w:eastAsia="바탕체"/>
          <w:b w:val="0"/>
          <w:i/>
          <w:sz w:val="20"/>
        </w:rPr>
        <w:t>A Known/Unknown Defect Classification and Detection Architecture Based on DRAM Failbit Maps</w:t>
      </w:r>
    </w:p>
    <w:p>
      <w:pPr>
        <w:spacing w:line="240" w:lineRule="auto" w:after="40"/>
        <w:jc w:val="center"/>
      </w:pPr>
      <w:r>
        <w:rPr>
          <w:rFonts w:ascii="Times New Roman" w:hAnsi="Times New Roman" w:eastAsia="바탕체"/>
          <w:b/>
          <w:i w:val="0"/>
          <w:sz w:val="24"/>
        </w:rPr>
        <w:t>홍길동¹, 김철수¹</w:t>
      </w:r>
    </w:p>
    <w:p>
      <w:pPr>
        <w:spacing w:line="240" w:lineRule="auto" w:after="120"/>
        <w:jc w:val="center"/>
      </w:pPr>
      <w:r>
        <w:rPr>
          <w:rFonts w:ascii="Times New Roman" w:hAnsi="Times New Roman" w:eastAsia="바탕체"/>
          <w:b w:val="0"/>
          <w:i w:val="0"/>
          <w:sz w:val="18"/>
        </w:rPr>
        <w:t>¹ 반도체연구소, Samsung Electronics, 화성시, 대한민국</w:t>
      </w:r>
    </w:p>
    <w:p>
      <w:pPr>
        <w:spacing w:line="240" w:lineRule="auto" w:before="120" w:after="40"/>
        <w:jc w:val="left"/>
      </w:pPr>
      <w:r>
        <w:rPr>
          <w:rFonts w:ascii="Times New Roman" w:hAnsi="Times New Roman" w:eastAsia="바탕체"/>
          <w:b/>
          <w:i w:val="0"/>
          <w:sz w:val="20"/>
        </w:rPr>
        <w:t>초록</w:t>
      </w:r>
    </w:p>
    <w:p>
      <w:pPr>
        <w:spacing w:line="240" w:lineRule="auto" w:after="80"/>
        <w:ind w:firstLine="283"/>
      </w:pPr>
      <w:r>
        <w:rPr>
          <w:rFonts w:ascii="Times New Roman" w:hAnsi="Times New Roman" w:eastAsia="바탕체"/>
          <w:b/>
          <w:i w:val="0"/>
          <w:sz w:val="20"/>
        </w:rPr>
        <w:t>Failbit Map은 반도체 EDS Test에서 생성되는 웨이퍼당 약 1,000만 pixel 규모의 초고해상도 공간 데이터로, 불량 분석의 핵심 자료이다. 그러나 현업에서는 대량 Map의 생성·조회 환경이 부족하고 불량 판단이 엔지니어의 수작업에 의존해 전수 분석이 어렵다. 본 논문은 대규모 Failbit Map 생성·저장 파이프라인과 Known·Unknown 불량 통합 분석 AI 아키텍처를 End-to-End 구조로 구현하였다. Known 경로는 ConvNeXtV2-Base와 저신뢰 샘플 선택적 ROI-YOLO를 결합한 2단계 구조로 16-class weighted F1 0.78→0.95를 달성하였다. Unknown 경로는 SimCLR 계열 contrastive learning과 grid structured local sampling으로 5일치 10,000장을 학습한 뒤 1일치 2,000장을 13개 후보 그룹으로 압축하였으며(154배 축소), 현업 엔지니어 검증을 통해 7개가 실제 불량 그룹으로 확인되었다.</w:t>
      </w:r>
    </w:p>
    <w:p>
      <w:pPr>
        <w:spacing w:line="240" w:lineRule="auto" w:after="80"/>
      </w:pPr>
      <w:r>
        <w:rPr>
          <w:rFonts w:ascii="Times New Roman" w:hAnsi="Times New Roman" w:eastAsia="바탕체"/>
          <w:b w:val="0"/>
          <w:i/>
          <w:sz w:val="18"/>
        </w:rPr>
        <w:t>Keywords: Failbit Map, Wafer Defect Analysis, ConvNeXtV2, Grad-CAM, YOLO, Contrastive Learning, HDBSCAN, Multimodal</w:t>
      </w:r>
    </w:p>
    <w:p>
      <w:pPr>
        <w:spacing w:before="0" w:after="0"/>
        <w:sectPr>
          <w:pgSz w:w="11906" w:h="16838"/>
          <w:pgMar w:top="1701" w:right="850" w:bottom="1417" w:left="850" w:header="720" w:footer="720" w:gutter="0"/>
          <w:docGrid w:linePitch="360"/>
          <w:cols w:num="1"/>
        </w:sectPr>
      </w:pPr>
      <w:r>
        <w:rPr>
          <w:sz w:val="2"/>
        </w:rPr>
      </w:r>
    </w:p>
    <w:p>
      <w:pPr>
        <w:spacing w:line="240" w:lineRule="auto" w:before="200" w:after="200"/>
      </w:pPr>
      <w:r>
        <w:rPr>
          <w:rFonts w:ascii="Times New Roman" w:hAnsi="Times New Roman" w:eastAsia="바탕체"/>
          <w:b/>
          <w:i w:val="0"/>
          <w:sz w:val="22"/>
        </w:rPr>
        <w:t>1. 서론</w:t>
      </w:r>
    </w:p>
    <w:p>
      <w:pPr>
        <w:spacing w:line="240" w:lineRule="auto" w:after="40"/>
        <w:ind w:firstLine="283"/>
      </w:pPr>
      <w:r>
        <w:rPr>
          <w:rFonts w:ascii="Times New Roman" w:hAnsi="Times New Roman" w:eastAsia="바탕체"/>
          <w:b w:val="0"/>
          <w:i w:val="0"/>
          <w:sz w:val="20"/>
        </w:rPr>
        <w:t>Failbit Map은 EDS(Electrical Die Sorting) Test에서 각 Memory Cell Block의 불량 cell 개수를 Grade 0(정상)부터 7(최대 불량)까지로 표현한 데이터이다. Wafer 1장에는 약 1,000만 개의 block이 포함되므로, Failbit Map은 불량의 위치, 밀집도, 형상, 방향성을 반영하는 초고밀도 공간 데이터이자 수율 저하 원인 분석의 핵심 데이터이다. 그러나 현업 분석은 주로 Chip 단위 Measure(측정 항목별 집계값)의 발생 빈도를 기준으로 이상 여부를 판단하고 있어, Failbit Map 전체에서만 드러나는 불량 분포의 공간 패턴을 충분히 포착하지 못하며, 이로 인해 수율 저하 원인 추적에 사각지대가 발생할 수 있다. 따라서 수율 저하 원인을 정밀하게 분석하기 위해서는 Measure 기반 접근만으로는 충분하지 않으며, Failbit Map 자체를 핵심 분석 단위로 삼아야 한다.</w:t>
      </w:r>
    </w:p>
    <w:p>
      <w:pPr>
        <w:spacing w:line="240" w:lineRule="auto" w:after="40"/>
        <w:ind w:firstLine="283"/>
      </w:pPr>
      <w:r>
        <w:rPr>
          <w:rFonts w:ascii="Times New Roman" w:hAnsi="Times New Roman" w:eastAsia="바탕체"/>
          <w:b w:val="0"/>
          <w:i w:val="0"/>
          <w:sz w:val="20"/>
        </w:rPr>
        <w:t>실제 현업 적용에는 두 가지 제약이 있다. 첫째, 대량 Map 생성이 어렵다. 설비 Log는 Wafer당 10~50MB 수준이며 특정 제품군에서는 하루 약 2,000장의 Wafer가 발생하지만, 기존 분석 환경에서는 속도와 메모리 제약으로 한 번에 48매 이하만 처리할 수 있다. 둘째, Map이 생성되더라도 불량 여부와 유형 판단은 여전히 엔지니어의 직접 확인에 의존하고 있어 전수 분석이 어렵다. 두 제약은 독립적이지 않다. 파이프라인이 없으면 AI 학습·운영에 필요한 입력 데이터를 확보할 수 없고, AI가 없으면 생성된 Map 역시 수작업 판정 병목을 해소하지 못한다. 본 논문은 대량 Raw Data를 처리하는 데이터 파이프라인과 Failbit Map 기반 Known 불량 분류 및 Unknown 불량 검출을 통합한 AI 아키텍처를 하나의 End-to-End 분석 구조로 구현하여 실데이터에 적용·검증하였다.</w:t>
      </w:r>
    </w:p>
    <w:p>
      <w:pPr>
        <w:spacing w:line="240" w:lineRule="auto" w:before="200" w:after="200"/>
      </w:pPr>
      <w:r>
        <w:rPr>
          <w:rFonts w:ascii="Times New Roman" w:hAnsi="Times New Roman" w:eastAsia="바탕체"/>
          <w:b/>
          <w:i w:val="0"/>
          <w:sz w:val="22"/>
        </w:rPr>
        <w:t>2. 제안 방법</w:t>
      </w:r>
    </w:p>
    <w:p>
      <w:pPr>
        <w:spacing w:line="240" w:lineRule="auto" w:before="100" w:after="60"/>
      </w:pPr>
      <w:r>
        <w:rPr>
          <w:rFonts w:ascii="Times New Roman" w:hAnsi="Times New Roman" w:eastAsia="바탕체"/>
          <w:b/>
          <w:i w:val="0"/>
          <w:sz w:val="22"/>
        </w:rPr>
        <w:t>2.1 데이터 파이프라인</w:t>
      </w:r>
    </w:p>
    <w:p>
      <w:pPr>
        <w:spacing w:line="240" w:lineRule="auto" w:after="20"/>
      </w:pPr>
      <w:r>
        <w:rPr>
          <w:rFonts w:ascii="Times New Roman" w:hAnsi="Times New Roman" w:eastAsia="바탕체"/>
          <w:b w:val="0"/>
          <w:i w:val="0"/>
          <w:sz w:val="20"/>
        </w:rPr>
        <w:t>설비 Log를 Storage에 실시간 적재하고 1시간 주기로 Failbit Map으로 변환·생성한다. 핵심 병목인 raw hex→grade 변환(웨이퍼당 약 1,000만 pixel 반복)을 Cython으로 전환하여 약 100배 가속하였다.</w:t>
      </w:r>
    </w:p>
    <w:p>
      <w:pPr>
        <w:spacing w:after="40" w:line="240" w:lineRule="auto"/>
        <w:ind w:left="227" w:right="113"/>
      </w:pPr>
      <w:r>
        <w:rPr>
          <w:rFonts w:ascii="Consolas" w:hAnsi="Consolas" w:eastAsia="Consolas"/>
          <w:sz w:val="18"/>
        </w:rPr>
        <w:t>h_i:        0A   09   0B   0C</w:t>
        <w:br/>
        <w:t>v_i:        10    9   11   12</w:t>
        <w:br/>
        <w:t>g_i:         1    0    2    3</w:t>
        <w:br/>
        <w:t>v_i = int(h_i, 16),    g_i = max(v_i - 9, 0)</w:t>
      </w:r>
    </w:p>
    <w:p>
      <w:pPr>
        <w:spacing w:line="240" w:lineRule="auto" w:after="20"/>
      </w:pPr>
      <w:r>
        <w:rPr>
          <w:rFonts w:ascii="Times New Roman" w:hAnsi="Times New Roman" w:eastAsia="바탕체"/>
          <w:b w:val="0"/>
          <w:i w:val="0"/>
          <w:sz w:val="20"/>
        </w:rPr>
        <w:t>Failbit Map은 grade·boundary 등 제한된 색상만 사용하므로 RGB PNG 대신 palette-indexed PNG를 적용하여 RGB 대비 약 75% 용량을 절감하였다. Measure 로그와 wafer ID 기준 매칭으로 chip별 FTN·QTN·BIN을 annotation에 사전 적재한다.</w:t>
      </w:r>
    </w:p>
    <w:p>
      <w:pPr>
        <w:spacing w:after="40" w:line="240" w:lineRule="auto"/>
        <w:ind w:left="227" w:right="113"/>
      </w:pPr>
      <w:r>
        <w:rPr>
          <w:rFonts w:ascii="Consolas" w:hAnsi="Consolas" w:eastAsia="Consolas"/>
          <w:sz w:val="18"/>
        </w:rPr>
        <w:t>RGB row:      (123,54,24)  (123,54,24)  (123,54,24)  (123,54,24)</w:t>
        <w:br/>
        <w:t>Palette:      P[1] = (123,54,24)</w:t>
        <w:br/>
        <w:t>Indexed row:  1  1  1  1</w:t>
        <w:br/>
        <w:t>I_RGB(x,y) = P[I_IDX(x,y)],    I_IDX(x,y) ∈ {0, ..., 31}</w:t>
      </w:r>
    </w:p>
    <w:p>
      <w:pPr>
        <w:spacing w:line="240" w:lineRule="auto" w:before="100" w:after="60"/>
      </w:pPr>
      <w:r>
        <w:rPr>
          <w:rFonts w:ascii="Times New Roman" w:hAnsi="Times New Roman" w:eastAsia="바탕체"/>
          <w:b/>
          <w:i w:val="0"/>
          <w:sz w:val="22"/>
        </w:rPr>
        <w:t>2.2 Known 불량 분류 (16-class)</w:t>
      </w:r>
    </w:p>
    <w:p>
      <w:pPr>
        <w:spacing w:line="240" w:lineRule="auto" w:after="40"/>
      </w:pPr>
      <w:r>
        <w:rPr>
          <w:rFonts w:ascii="Times New Roman" w:hAnsi="Times New Roman" w:eastAsia="바탕체"/>
          <w:b w:val="0"/>
          <w:i w:val="0"/>
          <w:sz w:val="20"/>
        </w:rPr>
        <w:t>약 1,500장(train/test 4:1 층화 분할)의 라벨 데이터로 ConvNeXtV2-Base [5](FCMAE+IN-22k, 384×384)를 backbone으로 채택하고 Optuna HPO [3]로 F1 0.78→0.92를 달성하였다. center·edge·local 계열처럼 wafer 전역 형상이 유사한 클래스 쌍은 전역 문맥만으로 분리가 어려워 confidence가 낮게 출력되므로, confidence &lt; 0.80 샘플에 한해 Grad-CAM ROI [6]를 추출하고 YOLO [9]가 chip 단위 pixel 패턴을 직접 검증한다(Fig. 1). 그 결과 유사 클래스 간 오분류를 보정하여 최종 F1 0.95를 달성하였다.</w:t>
      </w:r>
    </w:p>
    <w:p>
      <w:pPr>
        <w:spacing w:before="0" w:after="0"/>
      </w:pPr>
      <w:r>
        <w:rPr>
          <w:sz w:val="8"/>
        </w:rPr>
      </w:r>
    </w:p>
    <w:p>
      <w:pPr>
        <w:spacing w:before="0" w:after="20"/>
        <w:jc w:val="left"/>
      </w:pPr>
      <w:r>
        <w:drawing>
          <wp:inline xmlns:a="http://schemas.openxmlformats.org/drawingml/2006/main" xmlns:pic="http://schemas.openxmlformats.org/drawingml/2006/picture">
            <wp:extent cx="2340000" cy="895267"/>
            <wp:docPr id="1" name="Picture 1"/>
            <wp:cNvGraphicFramePr>
              <a:graphicFrameLocks noChangeAspect="1"/>
            </wp:cNvGraphicFramePr>
            <a:graphic>
              <a:graphicData uri="http://schemas.openxmlformats.org/drawingml/2006/picture">
                <pic:pic>
                  <pic:nvPicPr>
                    <pic:cNvPr id="0" name="_fig_yolo_roi_v7.png"/>
                    <pic:cNvPicPr/>
                  </pic:nvPicPr>
                  <pic:blipFill>
                    <a:blip r:embed="rId9"/>
                    <a:stretch>
                      <a:fillRect/>
                    </a:stretch>
                  </pic:blipFill>
                  <pic:spPr>
                    <a:xfrm>
                      <a:off x="0" y="0"/>
                      <a:ext cx="2340000" cy="895267"/>
                    </a:xfrm>
                    <a:prstGeom prst="rect"/>
                  </pic:spPr>
                </pic:pic>
              </a:graphicData>
            </a:graphic>
          </wp:inline>
        </w:drawing>
      </w:r>
    </w:p>
    <w:p>
      <w:pPr>
        <w:spacing w:line="240" w:lineRule="auto" w:before="0" w:after="0"/>
        <w:jc w:val="left"/>
      </w:pPr>
      <w:r>
        <w:rPr>
          <w:rFonts w:ascii="Times New Roman" w:hAnsi="Times New Roman" w:eastAsia="바탕체"/>
          <w:b/>
          <w:i w:val="0"/>
          <w:sz w:val="18"/>
        </w:rPr>
        <w:t>Fig. 1. wafer 전역(chip 배치)은 A·B 동일하여 CNN이 혼동되나, chip 내 pixel 패턴(star/x)으로 YOLO가 교정.</w:t>
      </w:r>
    </w:p>
    <w:p>
      <w:pPr>
        <w:spacing w:before="0" w:after="120"/>
      </w:pPr>
      <w:r>
        <w:rPr>
          <w:sz w:val="8"/>
        </w:rPr>
      </w:r>
    </w:p>
    <w:p>
      <w:pPr>
        <w:spacing w:line="240" w:lineRule="auto" w:before="100" w:after="60"/>
      </w:pPr>
      <w:r>
        <w:rPr>
          <w:rFonts w:ascii="Times New Roman" w:hAnsi="Times New Roman" w:eastAsia="바탕체"/>
          <w:b/>
          <w:i w:val="0"/>
          <w:sz w:val="22"/>
        </w:rPr>
        <w:t>2.3 Unknown 불량 탐지 (Open-set)</w:t>
      </w:r>
    </w:p>
    <w:p>
      <w:pPr>
        <w:spacing w:line="240" w:lineRule="auto" w:after="40"/>
      </w:pPr>
      <w:r>
        <w:rPr>
          <w:rFonts w:ascii="Times New Roman" w:hAnsi="Times New Roman" w:eastAsia="바탕체"/>
          <w:b w:val="0"/>
          <w:i w:val="0"/>
          <w:sz w:val="20"/>
        </w:rPr>
        <w:t>Unknown 불량은 사전에 정답 클래스를 정의하기 어려운 실제 운영 이미지를 대상으로 하므로, 이를 후보 grouping 문제로 정의하였다. 5일치 운영 데이터 약 10,000장으로 SimCLR [7] 계열 contrastive learning 기반 임베딩을 학습하고, 별도 1일치 2,000장에 HDBSCAN [8](size≥12, prob≥0.55)을 적용하여 유사 패턴을 그룹 단위로 압축하였다. 이때 wafer의 zone 기반 불량 해석 특성을 반영하기 위해 6×6 grid structured local sampling을 적용하였다. 그 결과 2,000장이 13개 후보 그룹으로 정리되었으며(Fig. 2, 검토 단위 약 154배 축소), 엔지니어 검증을 통해 이 중 7개(53.8%)가 실제 불량 그룹으로, 나머지 6개는 1 lot 헌팅 또는 이미지 이상으로 판정되었다.</w:t>
      </w:r>
    </w:p>
    <w:p>
      <w:pPr>
        <w:spacing w:before="0" w:after="0"/>
      </w:pPr>
      <w:r>
        <w:rPr>
          <w:sz w:val="8"/>
        </w:rPr>
      </w:r>
    </w:p>
    <w:p>
      <w:pPr>
        <w:spacing w:before="0" w:after="20"/>
        <w:jc w:val="left"/>
      </w:pPr>
      <w:r>
        <w:drawing>
          <wp:inline xmlns:a="http://schemas.openxmlformats.org/drawingml/2006/main" xmlns:pic="http://schemas.openxmlformats.org/drawingml/2006/picture">
            <wp:extent cx="2340000" cy="578832"/>
            <wp:docPr id="2" name="Picture 2"/>
            <wp:cNvGraphicFramePr>
              <a:graphicFrameLocks noChangeAspect="1"/>
            </wp:cNvGraphicFramePr>
            <a:graphic>
              <a:graphicData uri="http://schemas.openxmlformats.org/drawingml/2006/picture">
                <pic:pic>
                  <pic:nvPicPr>
                    <pic:cNvPr id="0" name="_fig_cluster.png"/>
                    <pic:cNvPicPr/>
                  </pic:nvPicPr>
                  <pic:blipFill>
                    <a:blip r:embed="rId10"/>
                    <a:stretch>
                      <a:fillRect/>
                    </a:stretch>
                  </pic:blipFill>
                  <pic:spPr>
                    <a:xfrm>
                      <a:off x="0" y="0"/>
                      <a:ext cx="2340000" cy="578832"/>
                    </a:xfrm>
                    <a:prstGeom prst="rect"/>
                  </pic:spPr>
                </pic:pic>
              </a:graphicData>
            </a:graphic>
          </wp:inline>
        </w:drawing>
      </w:r>
    </w:p>
    <w:p>
      <w:pPr>
        <w:spacing w:line="240" w:lineRule="auto" w:before="0" w:after="0"/>
        <w:jc w:val="left"/>
      </w:pPr>
      <w:r>
        <w:rPr>
          <w:rFonts w:ascii="Times New Roman" w:hAnsi="Times New Roman" w:eastAsia="바탕체"/>
          <w:b/>
          <w:i w:val="0"/>
          <w:sz w:val="18"/>
        </w:rPr>
        <w:t>Fig. 2. 실제 운영 이미지 기반 Unknown 불량 군집화 — 2,000장을 13개 그룹으로 압축 (모식도).</w:t>
      </w:r>
    </w:p>
    <w:p>
      <w:pPr>
        <w:spacing w:before="0" w:after="120"/>
      </w:pPr>
      <w:r>
        <w:rPr>
          <w:sz w:val="8"/>
        </w:rPr>
      </w:r>
    </w:p>
    <w:p>
      <w:pPr>
        <w:spacing w:line="240" w:lineRule="auto" w:before="200" w:after="200"/>
      </w:pPr>
      <w:r>
        <w:rPr>
          <w:rFonts w:ascii="Times New Roman" w:hAnsi="Times New Roman" w:eastAsia="바탕체"/>
          <w:b/>
          <w:i w:val="0"/>
          <w:sz w:val="22"/>
        </w:rPr>
        <w:t>3. 실험 결과</w:t>
      </w:r>
    </w:p>
    <w:p>
      <w:pPr>
        <w:spacing w:before="0" w:after="0"/>
      </w:pPr>
      <w:r>
        <w:rPr>
          <w:sz w:val="8"/>
        </w:rPr>
      </w:r>
    </w:p>
    <w:p>
      <w:pPr>
        <w:spacing w:line="240" w:lineRule="auto" w:before="0" w:after="20"/>
        <w:jc w:val="left"/>
      </w:pPr>
      <w:r>
        <w:rPr>
          <w:rFonts w:ascii="Times New Roman" w:hAnsi="Times New Roman" w:eastAsia="바탕체"/>
          <w:b/>
          <w:i w:val="0"/>
          <w:sz w:val="18"/>
        </w:rPr>
        <w:t>Table 1. 등록 불량 Backbone 및 개선 단계 (16-class, test Weighted F1)</w:t>
      </w:r>
    </w:p>
    <w:tbl>
      <w:tblPr>
        <w:tblStyle w:val="TableGrid"/>
        <w:tblW w:type="auto" w:w="0"/>
        <w:tblLayout w:type="fixed"/>
        <w:tblLook w:firstColumn="1" w:firstRow="1" w:lastColumn="0" w:lastRow="0" w:noHBand="0" w:noVBand="1" w:val="04A0"/>
      </w:tblPr>
      <w:tblGrid>
        <w:gridCol w:w="2551"/>
        <w:gridCol w:w="2551"/>
        <w:gridCol w:w="2551"/>
        <w:gridCol w:w="2551"/>
      </w:tblGrid>
      <w:tr>
        <w:tc>
          <w:tcPr>
            <w:tcW w:type="dxa" w:w="1871"/>
            <w:shd w:val="clear" w:color="auto" w:fill="D9E1F2"/>
          </w:tcPr>
          <w:p>
            <w:pPr>
              <w:jc w:val="center"/>
            </w:pPr>
            <w:r>
              <w:rPr>
                <w:rFonts w:ascii="Times New Roman" w:hAnsi="Times New Roman" w:eastAsia="바탕체"/>
                <w:b/>
                <w:i w:val="0"/>
                <w:sz w:val="16"/>
              </w:rPr>
              <w:t>구성</w:t>
            </w:r>
          </w:p>
        </w:tc>
        <w:tc>
          <w:tcPr>
            <w:tcW w:type="dxa" w:w="1077"/>
            <w:shd w:val="clear" w:color="auto" w:fill="D9E1F2"/>
          </w:tcPr>
          <w:p>
            <w:pPr>
              <w:jc w:val="center"/>
            </w:pPr>
            <w:r>
              <w:rPr>
                <w:rFonts w:ascii="Times New Roman" w:hAnsi="Times New Roman" w:eastAsia="바탕체"/>
                <w:b/>
                <w:i w:val="0"/>
                <w:sz w:val="16"/>
              </w:rPr>
              <w:t>사전학습</w:t>
            </w:r>
          </w:p>
        </w:tc>
        <w:tc>
          <w:tcPr>
            <w:tcW w:type="dxa" w:w="567"/>
            <w:shd w:val="clear" w:color="auto" w:fill="D9E1F2"/>
          </w:tcPr>
          <w:p>
            <w:pPr>
              <w:jc w:val="center"/>
            </w:pPr>
            <w:r>
              <w:rPr>
                <w:rFonts w:ascii="Times New Roman" w:hAnsi="Times New Roman" w:eastAsia="바탕체"/>
                <w:b/>
                <w:i w:val="0"/>
                <w:sz w:val="16"/>
              </w:rPr>
              <w:t>Test F1</w:t>
            </w:r>
          </w:p>
        </w:tc>
        <w:tc>
          <w:tcPr>
            <w:tcW w:type="dxa" w:w="907"/>
            <w:shd w:val="clear" w:color="auto" w:fill="D9E1F2"/>
          </w:tcPr>
          <w:p>
            <w:pPr>
              <w:jc w:val="center"/>
            </w:pPr>
            <w:r>
              <w:rPr>
                <w:rFonts w:ascii="Times New Roman" w:hAnsi="Times New Roman" w:eastAsia="바탕체"/>
                <w:b/>
                <w:i w:val="0"/>
                <w:sz w:val="16"/>
              </w:rPr>
              <w:t>비고</w:t>
            </w:r>
          </w:p>
        </w:tc>
      </w:tr>
      <w:tr>
        <w:tc>
          <w:tcPr>
            <w:tcW w:type="dxa" w:w="1871"/>
          </w:tcPr>
          <w:p>
            <w:pPr>
              <w:jc w:val="left"/>
            </w:pPr>
            <w:r>
              <w:rPr>
                <w:rFonts w:ascii="Times New Roman" w:hAnsi="Times New Roman" w:eastAsia="바탕체"/>
                <w:b w:val="0"/>
                <w:i w:val="0"/>
                <w:sz w:val="16"/>
              </w:rPr>
              <w:t>ViT</w:t>
            </w:r>
          </w:p>
        </w:tc>
        <w:tc>
          <w:tcPr>
            <w:tcW w:type="dxa" w:w="1077"/>
          </w:tcPr>
          <w:p>
            <w:pPr>
              <w:jc w:val="center"/>
            </w:pPr>
            <w:r>
              <w:rPr>
                <w:rFonts w:ascii="Times New Roman" w:hAnsi="Times New Roman" w:eastAsia="바탕체"/>
                <w:b w:val="0"/>
                <w:i w:val="0"/>
                <w:sz w:val="16"/>
              </w:rPr>
              <w:t>IN-21k</w:t>
            </w:r>
          </w:p>
        </w:tc>
        <w:tc>
          <w:tcPr>
            <w:tcW w:type="dxa" w:w="567"/>
          </w:tcPr>
          <w:p>
            <w:pPr>
              <w:jc w:val="center"/>
            </w:pPr>
            <w:r>
              <w:rPr>
                <w:rFonts w:ascii="Times New Roman" w:hAnsi="Times New Roman" w:eastAsia="바탕체"/>
                <w:b w:val="0"/>
                <w:i w:val="0"/>
                <w:sz w:val="16"/>
              </w:rPr>
              <w:t>0.81</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Swin</w:t>
            </w:r>
          </w:p>
        </w:tc>
        <w:tc>
          <w:tcPr>
            <w:tcW w:type="dxa" w:w="1077"/>
          </w:tcPr>
          <w:p>
            <w:pPr>
              <w:jc w:val="center"/>
            </w:pPr>
            <w:r>
              <w:rPr>
                <w:rFonts w:ascii="Times New Roman" w:hAnsi="Times New Roman" w:eastAsia="바탕체"/>
                <w:b w:val="0"/>
                <w:i w:val="0"/>
                <w:sz w:val="16"/>
              </w:rPr>
              <w:t>IN-1k</w:t>
            </w:r>
          </w:p>
        </w:tc>
        <w:tc>
          <w:tcPr>
            <w:tcW w:type="dxa" w:w="567"/>
          </w:tcPr>
          <w:p>
            <w:pPr>
              <w:jc w:val="center"/>
            </w:pPr>
            <w:r>
              <w:rPr>
                <w:rFonts w:ascii="Times New Roman" w:hAnsi="Times New Roman" w:eastAsia="바탕체"/>
                <w:b w:val="0"/>
                <w:i w:val="0"/>
                <w:sz w:val="16"/>
              </w:rPr>
              <w:t>0.84</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EffNetV2</w:t>
            </w:r>
          </w:p>
        </w:tc>
        <w:tc>
          <w:tcPr>
            <w:tcW w:type="dxa" w:w="1077"/>
          </w:tcPr>
          <w:p>
            <w:pPr>
              <w:jc w:val="center"/>
            </w:pPr>
            <w:r>
              <w:rPr>
                <w:rFonts w:ascii="Times New Roman" w:hAnsi="Times New Roman" w:eastAsia="바탕체"/>
                <w:b w:val="0"/>
                <w:i w:val="0"/>
                <w:sz w:val="16"/>
              </w:rPr>
              <w:t>IN-1k</w:t>
            </w:r>
          </w:p>
        </w:tc>
        <w:tc>
          <w:tcPr>
            <w:tcW w:type="dxa" w:w="567"/>
          </w:tcPr>
          <w:p>
            <w:pPr>
              <w:jc w:val="center"/>
            </w:pPr>
            <w:r>
              <w:rPr>
                <w:rFonts w:ascii="Times New Roman" w:hAnsi="Times New Roman" w:eastAsia="바탕체"/>
                <w:b w:val="0"/>
                <w:i w:val="0"/>
                <w:sz w:val="16"/>
              </w:rPr>
              <w:t>0.85</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MaxViT</w:t>
            </w:r>
          </w:p>
        </w:tc>
        <w:tc>
          <w:tcPr>
            <w:tcW w:type="dxa" w:w="1077"/>
          </w:tcPr>
          <w:p>
            <w:pPr>
              <w:jc w:val="center"/>
            </w:pPr>
            <w:r>
              <w:rPr>
                <w:rFonts w:ascii="Times New Roman" w:hAnsi="Times New Roman" w:eastAsia="바탕체"/>
                <w:b w:val="0"/>
                <w:i w:val="0"/>
                <w:sz w:val="16"/>
              </w:rPr>
              <w:t>IN-21k</w:t>
            </w:r>
          </w:p>
        </w:tc>
        <w:tc>
          <w:tcPr>
            <w:tcW w:type="dxa" w:w="567"/>
          </w:tcPr>
          <w:p>
            <w:pPr>
              <w:jc w:val="center"/>
            </w:pPr>
            <w:r>
              <w:rPr>
                <w:rFonts w:ascii="Times New Roman" w:hAnsi="Times New Roman" w:eastAsia="바탕체"/>
                <w:b w:val="0"/>
                <w:i w:val="0"/>
                <w:sz w:val="16"/>
              </w:rPr>
              <w:t>0.87</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ConvNeXtV2 (Ref)</w:t>
            </w:r>
          </w:p>
        </w:tc>
        <w:tc>
          <w:tcPr>
            <w:tcW w:type="dxa" w:w="1077"/>
          </w:tcPr>
          <w:p>
            <w:pPr>
              <w:jc w:val="center"/>
            </w:pPr>
            <w:r>
              <w:rPr>
                <w:rFonts w:ascii="Times New Roman" w:hAnsi="Times New Roman" w:eastAsia="바탕체"/>
                <w:b w:val="0"/>
                <w:i w:val="0"/>
                <w:sz w:val="16"/>
              </w:rPr>
              <w:t>FCMAE+IN22k</w:t>
            </w:r>
          </w:p>
        </w:tc>
        <w:tc>
          <w:tcPr>
            <w:tcW w:type="dxa" w:w="567"/>
          </w:tcPr>
          <w:p>
            <w:pPr>
              <w:jc w:val="center"/>
            </w:pPr>
            <w:r>
              <w:rPr>
                <w:rFonts w:ascii="Times New Roman" w:hAnsi="Times New Roman" w:eastAsia="바탕체"/>
                <w:b w:val="0"/>
                <w:i w:val="0"/>
                <w:sz w:val="16"/>
              </w:rPr>
              <w:t>0.87</w:t>
            </w:r>
          </w:p>
        </w:tc>
        <w:tc>
          <w:tcPr>
            <w:tcW w:type="dxa" w:w="907"/>
          </w:tcPr>
          <w:p>
            <w:pPr>
              <w:jc w:val="center"/>
            </w:pPr>
            <w:r>
              <w:rPr>
                <w:rFonts w:ascii="Times New Roman" w:hAnsi="Times New Roman" w:eastAsia="바탕체"/>
                <w:b w:val="0"/>
                <w:i w:val="0"/>
                <w:sz w:val="16"/>
              </w:rPr>
              <w:t>selected</w:t>
            </w:r>
          </w:p>
        </w:tc>
      </w:tr>
      <w:tr>
        <w:tc>
          <w:tcPr>
            <w:tcW w:type="dxa" w:w="1871"/>
          </w:tcPr>
          <w:p>
            <w:pPr>
              <w:jc w:val="left"/>
            </w:pPr>
            <w:r>
              <w:rPr>
                <w:rFonts w:ascii="Times New Roman" w:hAnsi="Times New Roman" w:eastAsia="바탕체"/>
                <w:b w:val="0"/>
                <w:i w:val="0"/>
                <w:sz w:val="16"/>
              </w:rPr>
              <w:t>Ref + Optuna</w:t>
            </w:r>
          </w:p>
        </w:tc>
        <w:tc>
          <w:tcPr>
            <w:tcW w:type="dxa" w:w="1077"/>
          </w:tcPr>
          <w:p>
            <w:pPr>
              <w:jc w:val="center"/>
            </w:pPr>
            <w:r>
              <w:rPr>
                <w:rFonts w:ascii="Times New Roman" w:hAnsi="Times New Roman" w:eastAsia="바탕체"/>
                <w:b w:val="0"/>
                <w:i w:val="0"/>
                <w:sz w:val="16"/>
              </w:rPr>
              <w:t>FCMAE+IN22k</w:t>
            </w:r>
          </w:p>
        </w:tc>
        <w:tc>
          <w:tcPr>
            <w:tcW w:type="dxa" w:w="567"/>
          </w:tcPr>
          <w:p>
            <w:pPr>
              <w:jc w:val="center"/>
            </w:pPr>
            <w:r>
              <w:rPr>
                <w:rFonts w:ascii="Times New Roman" w:hAnsi="Times New Roman" w:eastAsia="바탕체"/>
                <w:b w:val="0"/>
                <w:i w:val="0"/>
                <w:sz w:val="16"/>
              </w:rPr>
              <w:t>0.92</w:t>
            </w:r>
          </w:p>
        </w:tc>
        <w:tc>
          <w:tcPr>
            <w:tcW w:type="dxa" w:w="907"/>
          </w:tcPr>
          <w:p>
            <w:pPr>
              <w:jc w:val="center"/>
            </w:pPr>
            <w:r>
              <w:rPr>
                <w:rFonts w:ascii="Times New Roman" w:hAnsi="Times New Roman" w:eastAsia="바탕체"/>
                <w:b w:val="0"/>
                <w:i w:val="0"/>
                <w:sz w:val="16"/>
              </w:rPr>
              <w:t>HPO</w:t>
            </w:r>
          </w:p>
        </w:tc>
      </w:tr>
      <w:tr>
        <w:tc>
          <w:tcPr>
            <w:tcW w:type="dxa" w:w="1871"/>
            <w:shd w:val="clear" w:color="auto" w:fill="F2F2F2"/>
          </w:tcPr>
          <w:p>
            <w:pPr>
              <w:jc w:val="left"/>
            </w:pPr>
            <w:r>
              <w:rPr>
                <w:rFonts w:ascii="Times New Roman" w:hAnsi="Times New Roman" w:eastAsia="바탕체"/>
                <w:b/>
                <w:i w:val="0"/>
                <w:sz w:val="16"/>
              </w:rPr>
              <w:t>Ref + Optuna + ROI</w:t>
            </w:r>
          </w:p>
        </w:tc>
        <w:tc>
          <w:tcPr>
            <w:tcW w:type="dxa" w:w="1077"/>
            <w:shd w:val="clear" w:color="auto" w:fill="F2F2F2"/>
          </w:tcPr>
          <w:p>
            <w:pPr>
              <w:jc w:val="center"/>
            </w:pPr>
            <w:r>
              <w:rPr>
                <w:rFonts w:ascii="Times New Roman" w:hAnsi="Times New Roman" w:eastAsia="바탕체"/>
                <w:b w:val="0"/>
                <w:i w:val="0"/>
                <w:sz w:val="16"/>
              </w:rPr>
              <w:t>FCMAE+IN22k</w:t>
            </w:r>
          </w:p>
        </w:tc>
        <w:tc>
          <w:tcPr>
            <w:tcW w:type="dxa" w:w="567"/>
            <w:shd w:val="clear" w:color="auto" w:fill="F2F2F2"/>
          </w:tcPr>
          <w:p>
            <w:pPr>
              <w:jc w:val="center"/>
            </w:pPr>
            <w:r>
              <w:rPr>
                <w:rFonts w:ascii="Times New Roman" w:hAnsi="Times New Roman" w:eastAsia="바탕체"/>
                <w:b w:val="0"/>
                <w:i w:val="0"/>
                <w:sz w:val="16"/>
              </w:rPr>
              <w:t>0.95</w:t>
            </w:r>
          </w:p>
        </w:tc>
        <w:tc>
          <w:tcPr>
            <w:tcW w:type="dxa" w:w="907"/>
            <w:shd w:val="clear" w:color="auto" w:fill="F2F2F2"/>
          </w:tcPr>
          <w:p>
            <w:pPr>
              <w:jc w:val="center"/>
            </w:pPr>
            <w:r>
              <w:rPr>
                <w:rFonts w:ascii="Times New Roman" w:hAnsi="Times New Roman" w:eastAsia="바탕체"/>
                <w:b w:val="0"/>
                <w:i w:val="0"/>
                <w:sz w:val="16"/>
              </w:rPr>
              <w:t>2-stage</w:t>
            </w:r>
          </w:p>
        </w:tc>
      </w:tr>
    </w:tbl>
    <w:p>
      <w:pPr>
        <w:spacing w:before="0" w:after="120"/>
      </w:pPr>
      <w:r>
        <w:rPr>
          <w:sz w:val="8"/>
        </w:rPr>
      </w:r>
    </w:p>
    <w:p>
      <w:pPr>
        <w:spacing w:line="240" w:lineRule="auto" w:after="40"/>
      </w:pPr>
      <w:r>
        <w:rPr>
          <w:rFonts w:ascii="Times New Roman" w:hAnsi="Times New Roman" w:eastAsia="바탕체"/>
          <w:b w:val="0"/>
          <w:i w:val="0"/>
          <w:sz w:val="20"/>
        </w:rPr>
        <w:t>하루 약 2,000장의 Wafer가 1시간 주기로 발생하는 운영 환경을 대상으로 하므로, backbone 선택은 F1과 추론 처리량을 함께 고려하였다. 공정 비교를 위해 각 계열의 Base/M급(약 70~100M params) variant를 대상으로 하였고, 1시간 주기 처리량 여유 확보를 위해 Large 이상은 제외하였다. MaxViT-Base와 ConvNeXtV2-Base는 F1 0.87로 동등하였으나 추론 속도가 더 빠른 ConvNeXtV2-Base를 최종 backbone으로 채택하였으며, Optuna HPO로 F1 0.92, 저신뢰 샘플에 대한 선택적 ROI-YOLO 보정으로 최종 F1 0.95를 달성하였다. Unknown 탐지에서는 하루 2,000장이 13개 후보 그룹으로 자동 압축되어(154배 축소) 담당 엔지니어 검토 결과 7개(53.8%)는 신규 불량, 나머지 6개는 헌팅 또는 이미지 이상으로 정리되었다. Unknown 결과의 핵심은 단순 군집 정확도가 아니라, 대량 운영 이미지에서 실제 검토 가치 있는 후보 리스트를 안정적으로 생성했다는 점이다.</w:t>
      </w:r>
    </w:p>
    <w:p>
      <w:pPr>
        <w:spacing w:line="240" w:lineRule="auto" w:before="200" w:after="200"/>
      </w:pPr>
      <w:r>
        <w:rPr>
          <w:rFonts w:ascii="Times New Roman" w:hAnsi="Times New Roman" w:eastAsia="바탕체"/>
          <w:b/>
          <w:i w:val="0"/>
          <w:sz w:val="22"/>
        </w:rPr>
        <w:t>4. 결론</w:t>
      </w:r>
    </w:p>
    <w:p>
      <w:pPr>
        <w:spacing w:line="240" w:lineRule="auto" w:after="40"/>
        <w:ind w:firstLine="283"/>
      </w:pPr>
      <w:r>
        <w:rPr>
          <w:rFonts w:ascii="Times New Roman" w:hAnsi="Times New Roman" w:eastAsia="바탕체"/>
          <w:b w:val="0"/>
          <w:i w:val="0"/>
          <w:sz w:val="20"/>
        </w:rPr>
        <w:t>본 연구는 데이터 생성 파이프라인과 Known·Unknown 불량 분석 AI를 통합한 현업 적용형 구조를 제시하였다. 데이터 계층에서는 1시간 주기 Map 생성 성능과 저장 효율을 확보하였고, Known 경로는 ConvNeXtV2와 선택적 ROI-YOLO의 2단계 구조로 F1 0.95를, Unknown 경로는 structured local sampling 기반 표현 학습으로 실제 검토 가능한 후보 그룹을 자동 발굴하였다. 이를 통해 Failbit Map을 수작업 기반 시각 자료가 아닌 대량 운영 데이터 기반의 핵심 분석 단위로 전환할 수 있음을 보였으며, 향후 FTN·QTN을 입력으로 하는 multimodal 융합으로 확장할 계획이다.</w:t>
      </w:r>
    </w:p>
    <w:p>
      <w:pPr>
        <w:spacing w:line="240" w:lineRule="auto" w:before="200" w:after="200"/>
      </w:pPr>
      <w:r>
        <w:rPr>
          <w:rFonts w:ascii="Times New Roman" w:hAnsi="Times New Roman" w:eastAsia="바탕체"/>
          <w:b/>
          <w:i w:val="0"/>
          <w:sz w:val="22"/>
        </w:rPr>
        <w:t>참고문헌</w:t>
      </w:r>
    </w:p>
    <w:p>
      <w:pPr>
        <w:spacing w:line="240" w:lineRule="auto" w:after="20"/>
        <w:ind w:left="283" w:hanging="283"/>
      </w:pPr>
      <w:r>
        <w:rPr>
          <w:rFonts w:ascii="Times New Roman" w:hAnsi="Times New Roman" w:eastAsia="바탕체"/>
          <w:b w:val="0"/>
          <w:i w:val="0"/>
          <w:sz w:val="18"/>
        </w:rPr>
        <w:t>[1] T. Nakazawa and D. V. Kulkarni, "Wafer Map Defect Pattern Classification and Image Retrieval Using Convolutional Neural Network," IEEE Trans. Semiconductor Manufacturing, vol. 31, no. 2, pp. 309-314, 2018.</w:t>
      </w:r>
    </w:p>
    <w:p>
      <w:pPr>
        <w:spacing w:line="240" w:lineRule="auto" w:after="20"/>
        <w:ind w:left="283" w:hanging="283"/>
      </w:pPr>
      <w:r>
        <w:rPr>
          <w:rFonts w:ascii="Times New Roman" w:hAnsi="Times New Roman" w:eastAsia="바탕체"/>
          <w:b w:val="0"/>
          <w:i w:val="0"/>
          <w:sz w:val="18"/>
        </w:rPr>
        <w:t>[2] M. B. Alawieh, D. Boning, and D. Z. Pan, "Wafer Map Defect Patterns Classification Using Deep Selective Learning," in Proc. 57th ACM/IEEE DAC, pp. 1-6, 2020.</w:t>
      </w:r>
    </w:p>
    <w:p>
      <w:pPr>
        <w:spacing w:line="240" w:lineRule="auto" w:after="20"/>
        <w:ind w:left="283" w:hanging="283"/>
      </w:pPr>
      <w:r>
        <w:rPr>
          <w:rFonts w:ascii="Times New Roman" w:hAnsi="Times New Roman" w:eastAsia="바탕체"/>
          <w:b w:val="0"/>
          <w:i w:val="0"/>
          <w:sz w:val="18"/>
        </w:rPr>
        <w:t>[3] T. Akiba et al., "Optuna: A Next-generation Hyperparameter Optimization Framework," in Proc. 25th ACM SIGKDD, pp. 2623-2631, 2019.</w:t>
      </w:r>
    </w:p>
    <w:p>
      <w:pPr>
        <w:spacing w:line="240" w:lineRule="auto" w:after="20"/>
        <w:ind w:left="283" w:hanging="283"/>
      </w:pPr>
      <w:r>
        <w:rPr>
          <w:rFonts w:ascii="Times New Roman" w:hAnsi="Times New Roman" w:eastAsia="바탕체"/>
          <w:b w:val="0"/>
          <w:i w:val="0"/>
          <w:sz w:val="18"/>
        </w:rPr>
        <w:t>[4] J. Jang and G. T. Lee, "Decision Fusion Approach for Detecting Unknown Wafer Bin Map Patterns Based on a Deep Multitask Learning Model," Expert Systems with Applications, vol. 213, 2023.</w:t>
      </w:r>
    </w:p>
    <w:p>
      <w:pPr>
        <w:spacing w:line="240" w:lineRule="auto" w:after="20"/>
        <w:ind w:left="283" w:hanging="283"/>
      </w:pPr>
      <w:r>
        <w:rPr>
          <w:rFonts w:ascii="Times New Roman" w:hAnsi="Times New Roman" w:eastAsia="바탕체"/>
          <w:b w:val="0"/>
          <w:i w:val="0"/>
          <w:sz w:val="18"/>
        </w:rPr>
        <w:t>[5] S. Woo et al., "ConvNeXt V2: Co-Designing and Scaling ConvNets With Masked Autoencoders," in Proc. CVPR, pp. 16133-16142, 2023.</w:t>
      </w:r>
    </w:p>
    <w:p>
      <w:pPr>
        <w:spacing w:line="240" w:lineRule="auto" w:after="20"/>
        <w:ind w:left="283" w:hanging="283"/>
      </w:pPr>
      <w:r>
        <w:rPr>
          <w:rFonts w:ascii="Times New Roman" w:hAnsi="Times New Roman" w:eastAsia="바탕체"/>
          <w:b w:val="0"/>
          <w:i w:val="0"/>
          <w:sz w:val="18"/>
        </w:rPr>
        <w:t>[6] R. R. Selvaraju et al., "Grad-CAM: Visual Explanations From Deep Networks via Gradient-Based Localization," in Proc. ICCV, pp. 618-626, 2017.</w:t>
      </w:r>
    </w:p>
    <w:p>
      <w:pPr>
        <w:spacing w:line="240" w:lineRule="auto" w:after="20"/>
        <w:ind w:left="283" w:hanging="283"/>
      </w:pPr>
      <w:r>
        <w:rPr>
          <w:rFonts w:ascii="Times New Roman" w:hAnsi="Times New Roman" w:eastAsia="바탕체"/>
          <w:b w:val="0"/>
          <w:i w:val="0"/>
          <w:sz w:val="18"/>
        </w:rPr>
        <w:t>[7] T. Chen et al., "A Simple Framework for Contrastive Learning of Visual Representations," in Proc. ICML, PMLR 119, pp. 1597-1607, 2020.</w:t>
      </w:r>
    </w:p>
    <w:p>
      <w:pPr>
        <w:spacing w:line="240" w:lineRule="auto" w:after="20"/>
        <w:ind w:left="283" w:hanging="283"/>
      </w:pPr>
      <w:r>
        <w:rPr>
          <w:rFonts w:ascii="Times New Roman" w:hAnsi="Times New Roman" w:eastAsia="바탕체"/>
          <w:b w:val="0"/>
          <w:i w:val="0"/>
          <w:sz w:val="18"/>
        </w:rPr>
        <w:t>[8] R. J. G. B. Campello et al., "Density-Based Clustering Based on Hierarchical Density Estimates," in PAKDD 2013, pp. 160-172, 2013.</w:t>
      </w:r>
    </w:p>
    <w:p>
      <w:pPr>
        <w:spacing w:line="240" w:lineRule="auto" w:after="20"/>
        <w:ind w:left="283" w:hanging="283"/>
      </w:pPr>
      <w:r>
        <w:rPr>
          <w:rFonts w:ascii="Times New Roman" w:hAnsi="Times New Roman" w:eastAsia="바탕체"/>
          <w:b w:val="0"/>
          <w:i w:val="0"/>
          <w:sz w:val="18"/>
        </w:rPr>
        <w:t>[9] J. Redmon et al., "You Only Look Once: Unified, Real-Time Object Detection," in Proc. CVPR, pp. 779-788, 2016.</w:t>
      </w:r>
    </w:p>
    <w:sectPr w:rsidR="00FC693F" w:rsidRPr="0006063C" w:rsidSect="00034616">
      <w:type w:val="continuous"/>
      <w:pgSz w:w="11906" w:h="16838"/>
      <w:pgMar w:top="1701" w:right="850" w:bottom="1417" w:left="850" w:header="720" w:footer="720" w:gutter="0"/>
      <w:cols w:space="283"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바탕체" w:hAnsi="바탕체"/>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