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본 논문은 대량 Raw Data를 처리하는 데이터 파이프라인과 Failbit Map 기반 Known 불량 분류 및 Unknown 불량 검출을 통합한 AI 아키텍처를 구현하여 실데이터에 적용·검증하였다. 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파이프라인</w:t>
      </w:r>
    </w:p>
    <w:p>
      <w:pPr>
        <w:spacing w:line="240" w:lineRule="auto" w:after="20"/>
      </w:pPr>
      <w:r>
        <w:rPr>
          <w:rFonts w:ascii="Times New Roman" w:hAnsi="Times New Roman" w:eastAsia="바탕체"/>
          <w:b w:val="0"/>
          <w:i w:val="0"/>
          <w:sz w:val="20"/>
        </w:rPr>
        <w:t>설비 Log를 Storage에 실시간 적재하고 1시간 주기로 Failbit Map으로 변환·생성한다. 핵심 병목인 raw hex→grade 변환(웨이퍼당 약 1,000만 pixel 반복)을 Cython으로 전환하여 약 100배 가속하였다.</w:t>
      </w:r>
    </w:p>
    <w:p>
      <w:pPr>
        <w:spacing w:after="40" w:line="240" w:lineRule="auto"/>
        <w:ind w:left="227" w:right="113"/>
      </w:pPr>
      <w:r>
        <w:rPr>
          <w:rFonts w:ascii="Consolas" w:hAnsi="Consolas" w:eastAsia="Consolas"/>
          <w:sz w:val="18"/>
        </w:rPr>
        <w:t>h_i:        0A   09   0B   0C</w:t>
        <w:br/>
        <w:t>v_i:        10    9   11   12</w:t>
        <w:br/>
        <w:t>g_i:         1    0    2    3</w:t>
        <w:br/>
        <w:t>v_i = int(h_i, 16),    g_i = max(v_i - 9, 0)</w:t>
      </w:r>
    </w:p>
    <w:p>
      <w:pPr>
        <w:spacing w:line="240" w:lineRule="auto" w:after="20"/>
      </w:pPr>
      <w:r>
        <w:rPr>
          <w:rFonts w:ascii="Times New Roman" w:hAnsi="Times New Roman" w:eastAsia="바탕체"/>
          <w:b w:val="0"/>
          <w:i w:val="0"/>
          <w:sz w:val="20"/>
        </w:rPr>
        <w:t>Failbit Map은 grade·boundary 등 제한된 색상만 사용하므로 RGB PNG 대신 palette-indexed PNG를 적용하여 RGB 대비 약 75% 용량을 절감하였다. Measure 로그와 wafer ID 기준 매칭으로 chip별 FTN·QTN·BIN을 annotation에 사전 적재한다.</w:t>
      </w:r>
    </w:p>
    <w:p>
      <w:pPr>
        <w:spacing w:after="40" w:line="240" w:lineRule="auto"/>
        <w:ind w:left="227" w:right="113"/>
      </w:pPr>
      <w:r>
        <w:rPr>
          <w:rFonts w:ascii="Consolas" w:hAnsi="Consolas" w:eastAsia="Consolas"/>
          <w:sz w:val="18"/>
        </w:rPr>
        <w:t>RGB row:      (123,54,24)  (123,54,24)  (123,54,24)  (123,54,24)</w:t>
        <w:br/>
        <w:t>Palette:      P[1] = (123,54,24)</w:t>
        <w:br/>
        <w:t>Indexed row:  1  1  1  1</w:t>
        <w:br/>
        <w:t>I_RGB(x,y) = P[I_IDX(x,y)],    I_IDX(x,y) ∈ {0, ..., 31}</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분할)의 라벨 데이터로 ConvNeXtV2-Base [5](FCMAE+IN-22k, 384×384)를 backbone으로 채택하고 Optuna HPO [3]로 최적화하였다. center·edge·local 계열처럼 wafer 전역 형상이 유사한 클래스 쌍은 전역 문맥만으로 분리가 어려워 confidence가 낮게 출력되므로, confidence &lt; 0.80 샘플에 한해 Grad-CAM ROI [6]를 추출하고 YOLO [9]가 chip 단위 pixel 패턴을 직접 검증하여 오분류를 보정한다(Fig. 1).</w:t>
      </w:r>
    </w:p>
    <w:p>
      <w:pPr>
        <w:spacing w:before="0" w:after="0"/>
      </w:pPr>
      <w:r>
        <w:rPr>
          <w:sz w:val="8"/>
        </w:rPr>
      </w:r>
    </w:p>
    <w:p>
      <w:pPr>
        <w:spacing w:before="0" w:after="20"/>
        <w:jc w:val="left"/>
      </w:pPr>
      <w:r>
        <w:drawing>
          <wp:inline xmlns:a="http://schemas.openxmlformats.org/drawingml/2006/main" xmlns:pic="http://schemas.openxmlformats.org/drawingml/2006/picture">
            <wp:extent cx="2340000" cy="895267"/>
            <wp:docPr id="1" name="Picture 1"/>
            <wp:cNvGraphicFramePr>
              <a:graphicFrameLocks noChangeAspect="1"/>
            </wp:cNvGraphicFramePr>
            <a:graphic>
              <a:graphicData uri="http://schemas.openxmlformats.org/drawingml/2006/picture">
                <pic:pic>
                  <pic:nvPicPr>
                    <pic:cNvPr id="0" name="_fig_yolo_roi_v7.png"/>
                    <pic:cNvPicPr/>
                  </pic:nvPicPr>
                  <pic:blipFill>
                    <a:blip r:embed="rId9"/>
                    <a:stretch>
                      <a:fillRect/>
                    </a:stretch>
                  </pic:blipFill>
                  <pic:spPr>
                    <a:xfrm>
                      <a:off x="0" y="0"/>
                      <a:ext cx="2340000" cy="895267"/>
                    </a:xfrm>
                    <a:prstGeom prst="rect"/>
                  </pic:spPr>
                </pic:pic>
              </a:graphicData>
            </a:graphic>
          </wp:inline>
        </w:drawing>
      </w:r>
    </w:p>
    <w:p>
      <w:pPr>
        <w:spacing w:line="240" w:lineRule="auto" w:before="0" w:after="0"/>
        <w:jc w:val="left"/>
      </w:pPr>
      <w:r>
        <w:rPr>
          <w:rFonts w:ascii="Times New Roman" w:hAnsi="Times New Roman" w:eastAsia="바탕체"/>
          <w:b/>
          <w:i w:val="0"/>
          <w:sz w:val="18"/>
        </w:rPr>
        <w:t>Fig. 1. wafer 전역(chip 배치)은 A·B 동일하여 CNN이 혼동되나, chip 내 pixel 패턴(star/x)으로 YOLO가 교정.</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이를 후보 grouping 문제로 정의하였다. 5일치 운영 데이터 약 10,000장으로 SimCLR [7] 계열 contrastive learning 기반 임베딩을 학습하고, 1일치 2,000장에 HDBSCAN [8](size≥12, prob≥0.55)을 적용하여 유사 패턴을 그룹 단위로 압축한다. 이때 wafer의 zone 기반 불량 해석 특성을 반영하기 위해 6×6 grid structured local sampling을 적용한다(Fig. 2).</w:t>
      </w:r>
    </w:p>
    <w:p>
      <w:pPr>
        <w:spacing w:before="0" w:after="0"/>
      </w:pPr>
      <w:r>
        <w:rPr>
          <w:sz w:val="8"/>
        </w:rPr>
      </w:r>
    </w:p>
    <w:p>
      <w:pPr>
        <w:spacing w:before="0" w:after="20"/>
        <w:jc w:val="left"/>
      </w:pPr>
      <w:r>
        <w:drawing>
          <wp:inline xmlns:a="http://schemas.openxmlformats.org/drawingml/2006/main" xmlns:pic="http://schemas.openxmlformats.org/drawingml/2006/picture">
            <wp:extent cx="2340000" cy="578832"/>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340000" cy="578832"/>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하루 약 2,000장의 Wafer가 1시간 주기로 발생하는 운영 제약 하에서 backbone 선택은 F1과 추론 처리량을 함께 고려하였다. 각 계열의 Base/M급(약 70~100M params)만 비교하고 Large 이상은 제외하였으며, MaxViT-Base와 ConvNeXtV2-Base는 F1 0.87로 동등하나 추론 속도 우위로 ConvNeXtV2-Base를 채택하였다. Baseline 0.78 대비 Optuna HPO로 F1 0.92, 선택적 ROI-YOLO 보정으로 최종 0.95를 달성하였다. Unknown 탐지에서는 하루 2,000장이 13개 후보 그룹으로 자동 압축되어(약 154배 축소) 엔지니어 검토 결과 7개(53.8%)는 신규 불량, 6개는 1 lot 헌팅 또는 이미지 이상으로 정리되어 후보 리스트 전체가 검토 가능한 작업 단위로 기능하였다.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데이터 생성 파이프라인과 Known·Unknown 불량 분석 AI를 통합한 현업 적용형 구조를 제시하였다. 이를 통해 Failbit Map을 수작업 기반 시각 자료가 아닌 대량 운영 데이터 기반의 핵심 분석 단위로 전환할 수 있음을 보였다. 현재 본 체계는 DRAM 생산 라인에서 운영 중이며, 향후 전 제품군 확산과 FTN·QTN 기반 multimodal 융합으로 공정 원인 분석 자동화 수준을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