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분류·검출 아키텍처</w:t>
      </w:r>
    </w:p>
    <w:p>
      <w:pPr>
        <w:spacing w:line="240" w:lineRule="auto" w:after="80"/>
        <w:jc w:val="center"/>
      </w:pPr>
      <w:r>
        <w:rPr>
          <w:rFonts w:ascii="Times New Roman" w:hAnsi="Times New Roman" w:eastAsia="바탕체"/>
          <w:b w:val="0"/>
          <w:i/>
          <w:sz w:val="20"/>
        </w:rPr>
        <w:t>A Known/Unknown Defect Classification and Detection Architecture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공간 데이터로, 불량의 위치, 밀집도, 형상, 방향성을 정밀하게 보여주는 핵심 자료이다. 그러나 실제 현업에서는 대량의 Failbit Map을 생성·조회하고 전수 분석할 수 있는 환경이 부족하여, 엔지니어의 수작업 확인에 의존한 분석이 이루어지고 있다. 본 논문은 이를 해결하기 위해 Test Log를 변환하여 대규모 Failbit Map을 생성·저장하는 데이터 파이프라인과, Known 불량 및 Unknown 불량을 분석하는 AI 불량 분석 구조를 구현하였다. Known 불량 분류는 ConvNeXtV2-Base를 주 모델로 사용하고, 신뢰도가 낮은 샘플에 한해 ROI 기반 YOLO를 선택적으로 적용하는 2단계 구조로 설계하였으며, 이를 통해 F1-score 0.95를 달성하였다. Unknown 불량 검출은 레이블 없이 SimCLR 계열 contrastive learning을 사용하였고,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의미 있는 불량 그룹으로 확인되었다. 이를 통해 레이블이 없는 실제 운영 이미지에서도 Unknown 불량을 그룹 수준에서 검출하고, 전문가 검증을 통해 실제 불량으로 식별할 수 있음을 확인하였다.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EDS(Electrical Die Sorting) Test에서 각 Memory Cell Block의 불량 cell 개수를 Grade 0(정상)부터 7(최대 불량)까지로 표현한 데이터이다. Wafer 1장에는 약 1,000만 개의 block이 포함되므로, Failbit Map은 불량의 위치, 밀집도, 형상, 방향성을 반영하는 초고밀도 공간 데이터이자 수율 저하 원인 분석의 핵심 데이터이다. 그러나 현업 분석은 주로 Chip 단위 Measure(측정 항목별 집계값)의 발생 빈도를 기준으로 이상 여부를 판단하고 있어, Failbit Map 전체에서만 드러나는 불량 분포의 공간 패턴을 충분히 포착하지 못하며 수율 저하 원인 추적에 사각지대가 발생할 수 있다. 따라서 정밀한 원인 분석을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제품군에서는 하루 약 2,000장의 Wafer가 발생하지만, 기존 분석 환경에서는 속도와 메모리 제약으로 한 번에 48매 이하만 처리할 수 있다. 둘째, Map이 생성되더라도 불량 여부와 유형 판단은 여전히 엔지니어의 직접 확인에 의존하고 있어 전수 분석이 어렵다. 본 논문은 대량 Raw Data를 처리하는 데이터 파이프라인과 Failbit Map 기반 Known 불량 분류 및 Unknown 불량 검출을 통합한 AI 아키텍처를 구현하여 실데이터에 적용·검증하였다. 본 논문의 주요 기여는 다음과 같다.</w:t>
      </w:r>
    </w:p>
    <w:p>
      <w:pPr>
        <w:spacing w:line="240" w:lineRule="auto" w:after="40"/>
        <w:ind w:firstLine="283"/>
      </w:pPr>
      <w:r>
        <w:rPr>
          <w:rFonts w:ascii="Times New Roman" w:hAnsi="Times New Roman" w:eastAsia="바탕체"/>
          <w:b w:val="0"/>
          <w:i w:val="0"/>
          <w:sz w:val="20"/>
        </w:rPr>
        <w:t>첫째, Test 부서와 협의하여 대량 Raw Data 적재 체계와 전수 Failbit Map 생성 파이프라인을 구축하였다. palette-indexed PNG를 적용해 이미지 용량을 약 75% 절감하고, 실시간 설비 Log 수집과 1시간 주기 Failbit Map 생성 체계를 구현하여 대량 분석이 가능한 운영 기반을 마련하였다.</w:t>
      </w:r>
    </w:p>
    <w:p>
      <w:pPr>
        <w:spacing w:line="240" w:lineRule="auto" w:after="40"/>
        <w:ind w:firstLine="283"/>
      </w:pPr>
      <w:r>
        <w:rPr>
          <w:rFonts w:ascii="Times New Roman" w:hAnsi="Times New Roman" w:eastAsia="바탕체"/>
          <w:b w:val="0"/>
          <w:i w:val="0"/>
          <w:sz w:val="20"/>
        </w:rPr>
        <w:t>둘째, Known 불량의 정밀 분류를 위해 ConvNeXt V2와 ROI 기반 YOLO를 결합한 2단계 분석 구조를 제안하였다. ConvNeXt V2로 Wafer 전역 패턴을 우선 분류하고, 신뢰도가 낮은 샘플에 한해 ROI 기반 YOLO로 불량 영역의 위치 정보를 추가 반영함으로써 전역 패턴과 국소 위치 정보를 함께 활용하는 정밀 분류를 구현하였다.</w:t>
      </w:r>
    </w:p>
    <w:p>
      <w:pPr>
        <w:spacing w:line="240" w:lineRule="auto" w:after="40"/>
        <w:ind w:firstLine="283"/>
      </w:pPr>
      <w:r>
        <w:rPr>
          <w:rFonts w:ascii="Times New Roman" w:hAnsi="Times New Roman" w:eastAsia="바탕체"/>
          <w:b w:val="0"/>
          <w:i w:val="0"/>
          <w:sz w:val="20"/>
        </w:rPr>
        <w:t>셋째, 기존 분류 체계에 등록되지 않은 상태에서 새롭게 발생하는 Unknown 불량을 검출하기 위해 SimCLR 계열 contrastive learning 기반 분석 구조를 구현하였다. grid structured local sampling을 적용하여 동일 형태의 불량이라도 발생 위치에 따라 구분될 수 있도록 함으로써, Unknown 불량을 유사 패턴 그룹 수준에서 검출·해석할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20"/>
      </w:pPr>
      <w:r>
        <w:rPr>
          <w:rFonts w:ascii="Times New Roman" w:hAnsi="Times New Roman" w:eastAsia="바탕체"/>
          <w:b w:val="0"/>
          <w:i w:val="0"/>
          <w:sz w:val="20"/>
        </w:rPr>
        <w:t>설비 Log를 Storage에 실시간 적재하고 1시간 주기로 Failbit Map으로 변환·생성한다. 핵심 병목인 raw hex→grade 변환(웨이퍼당 약 1,000만 pixel 반복)을 Cython으로 전환하여 약 100배 가속하였다. i번째 입력 Hex 문자열을 h_i라 할 때, 십진수 변환값 v_i와 최종 Grade g_i의 디코딩 수식은 다음과 같다.</w:t>
      </w:r>
    </w:p>
    <w:p>
      <w:pPr>
        <w:spacing w:line="240" w:lineRule="auto" w:before="40" w:after="80"/>
        <w:jc w:val="center"/>
      </w:pPr>
      <w:r>
        <w:rPr>
          <w:rFonts w:ascii="Times New Roman" w:hAnsi="Times New Roman" w:eastAsia="바탕체"/>
          <w:b w:val="0"/>
          <w:i/>
          <w:sz w:val="20"/>
        </w:rPr>
        <w:t>v_i = int(h_i, 16)</w:t>
      </w:r>
      <w:r>
        <w:rPr>
          <w:rFonts w:ascii="Times New Roman" w:hAnsi="Times New Roman" w:eastAsia="바탕체"/>
          <w:b w:val="0"/>
          <w:i w:val="0"/>
          <w:sz w:val="20"/>
        </w:rPr>
        <w:t xml:space="preserve">        (1)</w:t>
      </w:r>
    </w:p>
    <w:p>
      <w:pPr>
        <w:spacing w:line="240" w:lineRule="auto" w:before="40" w:after="80"/>
        <w:jc w:val="center"/>
      </w:pPr>
      <w:r>
        <w:rPr>
          <w:rFonts w:ascii="Times New Roman" w:hAnsi="Times New Roman" w:eastAsia="바탕체"/>
          <w:b w:val="0"/>
          <w:i/>
          <w:sz w:val="20"/>
        </w:rPr>
        <w:t>g_i = max(v_i − 9, 0)</w:t>
      </w:r>
      <w:r>
        <w:rPr>
          <w:rFonts w:ascii="Times New Roman" w:hAnsi="Times New Roman" w:eastAsia="바탕체"/>
          <w:b w:val="0"/>
          <w:i w:val="0"/>
          <w:sz w:val="20"/>
        </w:rPr>
        <w:t xml:space="preserve">        (2)</w:t>
      </w:r>
    </w:p>
    <w:p>
      <w:pPr>
        <w:spacing w:line="240" w:lineRule="auto" w:after="20"/>
      </w:pPr>
      <w:r>
        <w:rPr>
          <w:rFonts w:ascii="Times New Roman" w:hAnsi="Times New Roman" w:eastAsia="바탕체"/>
          <w:b w:val="0"/>
          <w:i w:val="0"/>
          <w:sz w:val="20"/>
        </w:rPr>
        <w:t>Failbit Map은 grade·boundary 등 제한된 색상만 사용하므로 RGB PNG 대신 palette-indexed PNG를 적용하여 RGB 대비 약 75% 용량을 절감하였다. 32-색 팔레트 P를 정의하고 각 픽셀을 팔레트 인덱스로 치환하며, 좌표 (x,y)에서의 RGB 값은 인덱스 맵 I_idx를 통해 다음과 같이 매핑된다.</w:t>
      </w:r>
    </w:p>
    <w:p>
      <w:pPr>
        <w:spacing w:line="240" w:lineRule="auto" w:before="40" w:after="80"/>
        <w:jc w:val="center"/>
      </w:pPr>
      <w:r>
        <w:rPr>
          <w:rFonts w:ascii="Times New Roman" w:hAnsi="Times New Roman" w:eastAsia="바탕체"/>
          <w:b w:val="0"/>
          <w:i/>
          <w:sz w:val="20"/>
        </w:rPr>
        <w:t>I_rgb(x,y) = P[I_idx(x,y)],   I_idx(x,y) ∈ {0,1,…,31}</w:t>
      </w:r>
      <w:r>
        <w:rPr>
          <w:rFonts w:ascii="Times New Roman" w:hAnsi="Times New Roman" w:eastAsia="바탕체"/>
          <w:b w:val="0"/>
          <w:i w:val="0"/>
          <w:sz w:val="20"/>
        </w:rPr>
        <w:t xml:space="preserve">        (3)</w:t>
      </w:r>
    </w:p>
    <w:p>
      <w:pPr>
        <w:spacing w:line="240" w:lineRule="auto" w:after="40"/>
      </w:pPr>
      <w:r>
        <w:rPr>
          <w:rFonts w:ascii="Times New Roman" w:hAnsi="Times New Roman" w:eastAsia="바탕체"/>
          <w:b w:val="0"/>
          <w:i w:val="0"/>
          <w:sz w:val="20"/>
        </w:rPr>
        <w:t>Measure 로그와 wafer ID 기준 매칭으로 chip별 FTN·QTN·BIN을 annotation에 사전 적재한다.</w:t>
      </w:r>
    </w:p>
    <w:p>
      <w:pPr>
        <w:spacing w:line="240" w:lineRule="auto" w:before="100" w:after="60"/>
      </w:pPr>
      <w:r>
        <w:rPr>
          <w:rFonts w:ascii="Times New Roman" w:hAnsi="Times New Roman" w:eastAsia="바탕체"/>
          <w:b/>
          <w:i w:val="0"/>
          <w:sz w:val="22"/>
        </w:rPr>
        <w:t>2.2 Known 불량 분류 (16-class)</w:t>
      </w:r>
    </w:p>
    <w:p>
      <w:pPr>
        <w:spacing w:line="240" w:lineRule="auto" w:after="40"/>
      </w:pPr>
      <w:r>
        <w:rPr>
          <w:rFonts w:ascii="Times New Roman" w:hAnsi="Times New Roman" w:eastAsia="바탕체"/>
          <w:b w:val="0"/>
          <w:i w:val="0"/>
          <w:sz w:val="20"/>
        </w:rPr>
        <w:t>약 1,500장(train/test 4:1 층화 분할)의 라벨 데이터로 ConvNeXtV2-Base [5](FCMAE+IN-22k, 384×384)를 backbone으로 채택하고 Optuna HPO [3]로 최적화하였다. center·edge·local 계열처럼 wafer 전역 형상이 유사한 클래스 쌍은 전역 문맥만으로 분리가 어려워 confidence가 낮게 출력되므로, confidence &lt; 0.80 샘플에 한해 Grad-CAM ROI [6]를 추출하고 YOLO [9]가 chip 단위 pixel 패턴을 직접 검증하여 오분류를 보정한다(Fig. 1).</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895267"/>
            <wp:docPr id="1" name="Picture 1"/>
            <wp:cNvGraphicFramePr>
              <a:graphicFrameLocks noChangeAspect="1"/>
            </wp:cNvGraphicFramePr>
            <a:graphic>
              <a:graphicData uri="http://schemas.openxmlformats.org/drawingml/2006/picture">
                <pic:pic>
                  <pic:nvPicPr>
                    <pic:cNvPr id="0" name="_fig_yolo_roi_v7.png"/>
                    <pic:cNvPicPr/>
                  </pic:nvPicPr>
                  <pic:blipFill>
                    <a:blip r:embed="rId9"/>
                    <a:stretch>
                      <a:fillRect/>
                    </a:stretch>
                  </pic:blipFill>
                  <pic:spPr>
                    <a:xfrm>
                      <a:off x="0" y="0"/>
                      <a:ext cx="2340000" cy="895267"/>
                    </a:xfrm>
                    <a:prstGeom prst="rect"/>
                  </pic:spPr>
                </pic:pic>
              </a:graphicData>
            </a:graphic>
          </wp:inline>
        </w:drawing>
      </w:r>
    </w:p>
    <w:p>
      <w:pPr>
        <w:spacing w:line="240" w:lineRule="auto" w:before="0" w:after="0"/>
        <w:jc w:val="left"/>
      </w:pPr>
      <w:r>
        <w:rPr>
          <w:rFonts w:ascii="Times New Roman" w:hAnsi="Times New Roman" w:eastAsia="바탕체"/>
          <w:b/>
          <w:i w:val="0"/>
          <w:sz w:val="18"/>
        </w:rPr>
        <w:t>Fig. 1. wafer 전역(chip 배치)은 A·B 동일하여 CNN이 혼동되나, chip 내 pixel 패턴(star/x)으로 YOLO가 교정.</w:t>
      </w:r>
    </w:p>
    <w:p>
      <w:pPr>
        <w:spacing w:before="0" w:after="120"/>
      </w:pPr>
      <w:r>
        <w:rPr>
          <w:sz w:val="8"/>
        </w:rPr>
      </w:r>
    </w:p>
    <w:p>
      <w:pPr>
        <w:spacing w:line="240" w:lineRule="auto" w:before="100" w:after="60"/>
      </w:pPr>
      <w:r>
        <w:rPr>
          <w:rFonts w:ascii="Times New Roman" w:hAnsi="Times New Roman" w:eastAsia="바탕체"/>
          <w:b/>
          <w:i w:val="0"/>
          <w:sz w:val="22"/>
        </w:rPr>
        <w:t>2.3 Unknown 불량 탐지 (Open-set)</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이를 후보 grouping 문제로 정의하였다. 5일치 운영 데이터 약 10,000장으로 SimCLR [7] 계열 contrastive learning 기반 임베딩을 학습하고, 1일치 2,000장에 HDBSCAN [8](size≥12, prob≥0.55)을 적용하여 유사 패턴을 그룹 단위로 압축한다. 이때 wafer의 zone 기반 불량 해석 특성을 반영하기 위해 6×6 grid structured local sampling을 적용한다(Fig. 2).</w:t>
      </w:r>
    </w:p>
    <w:p>
      <w:pPr>
        <w:spacing w:before="0" w:after="0"/>
      </w:pPr>
      <w:r>
        <w:rPr>
          <w:sz w:val="8"/>
        </w:rPr>
      </w:r>
    </w:p>
    <w:p>
      <w:pPr>
        <w:spacing w:before="0" w:after="20"/>
        <w:jc w:val="left"/>
      </w:pPr>
      <w:r>
        <w:drawing>
          <wp:inline xmlns:a="http://schemas.openxmlformats.org/drawingml/2006/main" xmlns:pic="http://schemas.openxmlformats.org/drawingml/2006/picture">
            <wp:extent cx="2340000" cy="578832"/>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340000" cy="578832"/>
                    </a:xfrm>
                    <a:prstGeom prst="rect"/>
                  </pic:spPr>
                </pic:pic>
              </a:graphicData>
            </a:graphic>
          </wp:inline>
        </w:drawing>
      </w:r>
    </w:p>
    <w:p>
      <w:pPr>
        <w:spacing w:line="240" w:lineRule="auto" w:before="0" w:after="0"/>
        <w:jc w:val="left"/>
      </w:pPr>
      <w:r>
        <w:rPr>
          <w:rFonts w:ascii="Times New Roman" w:hAnsi="Times New Roman" w:eastAsia="바탕체"/>
          <w:b/>
          <w:i w:val="0"/>
          <w:sz w:val="18"/>
        </w:rPr>
        <w:t>Fig. 2. 실제 운영 이미지 기반 Unknown 불량 군집화 — 2,000장을 13개 그룹으로 압축 (모식도).</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하루 약 2,000장의 Wafer가 1시간 주기로 발생하는 운영 제약 하에서 backbone 선택은 F1과 추론 처리량을 함께 고려하였다. 각 계열의 Base/M급(약 70~100M params)만 비교하고 Large 이상은 제외하였으며, MaxViT-Base와 ConvNeXtV2-Base는 F1 0.87로 동등하나 추론 속도 우위로 ConvNeXtV2-Base를 채택하였다. Baseline 0.78 대비 Optuna HPO로 F1 0.92, 선택적 ROI-YOLO 보정으로 최종 0.95를 달성하였다. Unknown 탐지에서는 하루 2,000장이 13개 후보 그룹으로 자동 압축되어(약 154배 축소) 엔지니어 검토 결과 7개(53.8%)는 신규 불량, 6개는 1 lot 헌팅 또는 이미지 이상으로 정리되어 후보 리스트 전체가 검토 가능한 작업 단위로 기능하였다.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데이터 생성 파이프라인과 Known·Unknown 불량 분석 AI를 통합한 현업 적용형 구조를 제시하였다. 이를 통해 Failbit Map을 수작업 기반 시각 자료가 아닌 대량 운영 데이터 기반의 핵심 분석 단위로 전환할 수 있음을 보였다. 현재 본 체계는 DRAM 생산 라인에서 운영 중이며, 향후 전 제품군 확산과 FTN·QTN 기반 multimodal 융합으로 공정 원인 분석 자동화 수준을 한층 높일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T. Akiba et al., "Optuna: A Next-generation Hyperparameter Optimization Framework," in Proc. 25th ACM SIGKDD, pp. 2623-2631, 2019.</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p>
      <w:pPr>
        <w:spacing w:line="240" w:lineRule="auto" w:after="20"/>
        <w:ind w:left="283" w:hanging="283"/>
      </w:pPr>
      <w:r>
        <w:rPr>
          <w:rFonts w:ascii="Times New Roman" w:hAnsi="Times New Roman" w:eastAsia="바탕체"/>
          <w:b w:val="0"/>
          <w:i w:val="0"/>
          <w:sz w:val="18"/>
        </w:rPr>
        <w:t>[7] T. Chen et al., "A Simple Framework for Contrastive Learning of Visual Representations," in Proc. ICML, PMLR 119, pp. 1597-1607, 2020.</w:t>
      </w:r>
    </w:p>
    <w:p>
      <w:pPr>
        <w:spacing w:line="240" w:lineRule="auto" w:after="20"/>
        <w:ind w:left="283" w:hanging="283"/>
      </w:pPr>
      <w:r>
        <w:rPr>
          <w:rFonts w:ascii="Times New Roman" w:hAnsi="Times New Roman" w:eastAsia="바탕체"/>
          <w:b w:val="0"/>
          <w:i w:val="0"/>
          <w:sz w:val="18"/>
        </w:rPr>
        <w:t>[8] R. J. G. B. Campello et al., "Density-Based Clustering Based on Hierarchical Density Estimates," in PAKDD 2013, pp. 160-172, 2013.</w:t>
      </w:r>
    </w:p>
    <w:p>
      <w:pPr>
        <w:spacing w:line="240" w:lineRule="auto" w:after="20"/>
        <w:ind w:left="283" w:hanging="283"/>
      </w:pPr>
      <w:r>
        <w:rPr>
          <w:rFonts w:ascii="Times New Roman" w:hAnsi="Times New Roman" w:eastAsia="바탕체"/>
          <w:b w:val="0"/>
          <w:i w:val="0"/>
          <w:sz w:val="18"/>
        </w:rPr>
        <w:t>[9] J. Redmon et al., "You Only Look Once: Unified, Real-Time Object Detection," in Proc. CVPR, pp. 779-788, 2016.</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