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example. Raw hex stream은 숫자 변환과 grade mapping을 거쳐 최종 grade row로 변환되며, Cython 최적화를 통해 반복 변환 성능을 약 100배 향상시켰다.</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047113"/>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047113"/>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두 클래스는 wafer-level 발생 영역은 모두 중심부로 유사하지만 ROI 내 chip morphology가 다르다. 우측 예시에서 1단계 CNN은 wafer-level pattern만으로 Class B로 오분류하였으나, ROI 기반 YOLO가 chip 내부 star pattern을 검출하여 최종적으로 Class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