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example. Raw hex stream은 숫자 변환과 grade mapping을 거쳐 최종 grade row로 변환되며, Cython 최적화를 통해 반복 변환 성능을 약 100배 향상시켰다.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두 클래스는 wafer-level 발생 영역은 모두 중심부로 유사하지만 ROI 내 chip morphology가 다르다. 우측 예시에서 1단계 CNN은 wafer-level pattern만으로 Class B로 오분류하였으나, ROI 기반 YOLO가 chip 내부 star pattern을 검출하여 최종적으로 Class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