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본 논문은 대량 Raw Data를 처리하는 데이터 파이프라인과 Failbit Map 기반 Known 불량 분류 및 Unknown 불량 검출을 통합한 AI 아키텍처를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실시간 적재하고 1시간 주기로 Failbit Map을 생성하도록 구성하였다. 핵심 병목은 raw hex stream의 grade 변환 구간으로, 웨이퍼당 약 1,000만 pixel에 대해 반복 수행되므로 Python 구현만으로는 처리량 확보가 어려웠다. 해당 루틴을 Cython으로 최적화하여 데이터 변환 속도를 약 100배 향상시켰다.</w:t>
      </w:r>
    </w:p>
    <w:p>
      <w:pPr>
        <w:spacing w:before="0" w:after="0"/>
      </w:pPr>
      <w:r>
        <w:rPr>
          <w:sz w:val="8"/>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340"/>
        <w:jc w:val="left"/>
      </w:pPr>
      <w:r>
        <w:rPr>
          <w:rFonts w:ascii="Times New Roman" w:hAnsi="Times New Roman" w:eastAsia="바탕체"/>
          <w:b w:val="0"/>
          <w:i/>
          <w:sz w:val="20"/>
        </w:rPr>
        <w:t>Raw:</w:t>
      </w:r>
    </w:p>
    <w:p>
      <w:pPr>
        <w:spacing w:line="240" w:lineRule="auto" w:before="0" w:after="20"/>
        <w:ind w:left="624"/>
        <w:jc w:val="left"/>
      </w:pPr>
      <w:r>
        <w:rPr>
          <w:rFonts w:ascii="Times New Roman" w:hAnsi="Times New Roman" w:eastAsia="바탕체"/>
          <w:b w:val="0"/>
          <w:i/>
          <w:sz w:val="20"/>
        </w:rPr>
        <w:t>090B0C0D0E0F090A0B0C</w:t>
      </w:r>
    </w:p>
    <w:p>
      <w:pPr>
        <w:spacing w:line="240" w:lineRule="auto" w:before="0" w:after="0"/>
        <w:ind w:left="340"/>
        <w:jc w:val="left"/>
      </w:pPr>
      <w:r>
        <w:rPr>
          <w:rFonts w:ascii="Times New Roman" w:hAnsi="Times New Roman" w:eastAsia="바탕체"/>
          <w:b w:val="0"/>
          <w:i/>
          <w:sz w:val="20"/>
        </w:rPr>
        <w:t>Decoding:</w:t>
      </w:r>
    </w:p>
    <w:p>
      <w:pPr>
        <w:spacing w:line="240" w:lineRule="auto" w:before="0" w:after="20"/>
        <w:ind w:left="624"/>
        <w:jc w:val="left"/>
      </w:pPr>
      <w:r>
        <w:rPr>
          <w:rFonts w:ascii="Times New Roman" w:hAnsi="Times New Roman" w:eastAsia="바탕체"/>
          <w:b w:val="0"/>
          <w:i/>
          <w:sz w:val="20"/>
        </w:rPr>
        <w:t>"0C" -&gt; "C" -&gt; 12 (hex to decimal) -&gt; 3 (if value != 0, subtract 9)</w:t>
      </w:r>
    </w:p>
    <w:p>
      <w:pPr>
        <w:spacing w:line="240" w:lineRule="auto" w:before="0" w:after="0"/>
        <w:ind w:left="340"/>
        <w:jc w:val="left"/>
      </w:pPr>
      <w:r>
        <w:rPr>
          <w:rFonts w:ascii="Times New Roman" w:hAnsi="Times New Roman" w:eastAsia="바탕체"/>
          <w:b w:val="0"/>
          <w:i/>
          <w:sz w:val="20"/>
        </w:rPr>
        <w:t>Grade:</w:t>
      </w:r>
    </w:p>
    <w:p>
      <w:pPr>
        <w:spacing w:line="240" w:lineRule="auto" w:before="0" w:after="20"/>
        <w:ind w:left="624"/>
        <w:jc w:val="left"/>
      </w:pPr>
      <w:r>
        <w:rPr>
          <w:rFonts w:ascii="Times New Roman" w:hAnsi="Times New Roman" w:eastAsia="바탕체"/>
          <w:b w:val="0"/>
          <w:i/>
          <w:sz w:val="20"/>
        </w:rPr>
        <w:t>0 2 3 4 5 6 0 1 2 3</w:t>
      </w:r>
    </w:p>
    <w:p>
      <w:pPr>
        <w:spacing w:line="240" w:lineRule="auto" w:before="0" w:after="0"/>
        <w:jc w:val="left"/>
      </w:pPr>
      <w:r>
        <w:rPr>
          <w:rFonts w:ascii="Times New Roman" w:hAnsi="Times New Roman" w:eastAsia="바탕체"/>
          <w:b/>
          <w:i w:val="0"/>
          <w:sz w:val="18"/>
        </w:rPr>
        <w:t>Fig. 1. Hex-to-grade conversion. Cython optimization accelerated repeated grade conversion by about 100×.</w:t>
      </w:r>
    </w:p>
    <w:p>
      <w:pPr>
        <w:spacing w:before="0" w:after="120"/>
      </w:pPr>
      <w:r>
        <w:rPr>
          <w:sz w:val="8"/>
        </w:rPr>
      </w:r>
    </w:p>
    <w:p>
      <w:pPr>
        <w:spacing w:line="240" w:lineRule="auto" w:after="40"/>
      </w:pPr>
      <w:r>
        <w:rPr>
          <w:rFonts w:ascii="Times New Roman" w:hAnsi="Times New Roman" w:eastAsia="바탕체"/>
          <w:b w:val="0"/>
          <w:i w:val="0"/>
          <w:sz w:val="20"/>
        </w:rPr>
        <w:t>Failbit Map은 제한된 색상 집합만 사용하므로 palette-indexed PNG를 적용하여 이미지 용량을 약 75% 절감하였다.</w:t>
      </w:r>
    </w:p>
    <w:p>
      <w:pPr>
        <w:spacing w:before="0" w:after="0"/>
      </w:pPr>
      <w:r>
        <w:rPr>
          <w:sz w:val="8"/>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340"/>
        <w:jc w:val="left"/>
      </w:pPr>
      <w:r>
        <w:rPr>
          <w:rFonts w:ascii="Times New Roman" w:hAnsi="Times New Roman" w:eastAsia="바탕체"/>
          <w:b w:val="0"/>
          <w:i/>
          <w:sz w:val="20"/>
        </w:rPr>
        <w:t>RGB PNG:</w:t>
      </w:r>
    </w:p>
    <w:p>
      <w:pPr>
        <w:spacing w:line="240" w:lineRule="auto" w:before="0" w:after="0"/>
        <w:ind w:left="624"/>
        <w:jc w:val="left"/>
      </w:pPr>
      <w:r>
        <w:rPr>
          <w:rFonts w:ascii="Times New Roman" w:hAnsi="Times New Roman" w:eastAsia="바탕체"/>
          <w:b w:val="0"/>
          <w:i/>
          <w:sz w:val="20"/>
        </w:rPr>
        <w:t>[(123,54,24), (123,54,24), ..., (123,54,24)],</w:t>
      </w:r>
    </w:p>
    <w:p>
      <w:pPr>
        <w:spacing w:line="240" w:lineRule="auto" w:before="0" w:after="20"/>
        <w:ind w:left="624"/>
        <w:jc w:val="left"/>
      </w:pPr>
      <w:r>
        <w:rPr>
          <w:rFonts w:ascii="Times New Roman" w:hAnsi="Times New Roman" w:eastAsia="바탕체"/>
          <w:b w:val="0"/>
          <w:i/>
          <w:sz w:val="20"/>
        </w:rPr>
        <w:t>[(123,54,24), (123,54,24), ..., (123,54,24)]</w:t>
      </w:r>
    </w:p>
    <w:p>
      <w:pPr>
        <w:spacing w:line="240" w:lineRule="auto" w:before="0" w:after="0"/>
        <w:ind w:left="340"/>
        <w:jc w:val="left"/>
      </w:pPr>
      <w:r>
        <w:rPr>
          <w:rFonts w:ascii="Times New Roman" w:hAnsi="Times New Roman" w:eastAsia="바탕체"/>
          <w:b w:val="0"/>
          <w:i/>
          <w:sz w:val="20"/>
        </w:rPr>
        <w:t>Palette-indexed PNG:</w:t>
      </w:r>
    </w:p>
    <w:p>
      <w:pPr>
        <w:spacing w:line="240" w:lineRule="auto" w:before="0" w:after="0"/>
        <w:ind w:left="624"/>
        <w:jc w:val="left"/>
      </w:pPr>
      <w:r>
        <w:rPr>
          <w:rFonts w:ascii="Times New Roman" w:hAnsi="Times New Roman" w:eastAsia="바탕체"/>
          <w:b w:val="0"/>
          <w:i/>
          <w:sz w:val="20"/>
        </w:rPr>
        <w:t>P[3] = (123,54,24)</w:t>
      </w:r>
    </w:p>
    <w:p>
      <w:pPr>
        <w:spacing w:line="240" w:lineRule="auto" w:before="0" w:after="0"/>
        <w:ind w:left="624"/>
        <w:jc w:val="left"/>
      </w:pPr>
      <w:r>
        <w:rPr>
          <w:rFonts w:ascii="Times New Roman" w:hAnsi="Times New Roman" w:eastAsia="바탕체"/>
          <w:b w:val="0"/>
          <w:i/>
          <w:sz w:val="20"/>
        </w:rPr>
        <w:t>[(3), (3), ..., (3)],</w:t>
      </w:r>
    </w:p>
    <w:p>
      <w:pPr>
        <w:spacing w:line="240" w:lineRule="auto" w:before="0" w:after="20"/>
        <w:ind w:left="624"/>
        <w:jc w:val="left"/>
      </w:pPr>
      <w:r>
        <w:rPr>
          <w:rFonts w:ascii="Times New Roman" w:hAnsi="Times New Roman" w:eastAsia="바탕체"/>
          <w:b w:val="0"/>
          <w:i/>
          <w:sz w:val="20"/>
        </w:rPr>
        <w:t>[(3), (3), ..., (3)]</w:t>
      </w:r>
    </w:p>
    <w:p>
      <w:pPr>
        <w:spacing w:line="240" w:lineRule="auto" w:before="0" w:after="0"/>
        <w:ind w:left="340"/>
        <w:jc w:val="left"/>
      </w:pPr>
      <w:r>
        <w:rPr>
          <w:rFonts w:ascii="Times New Roman" w:hAnsi="Times New Roman" w:eastAsia="바탕체"/>
          <w:b w:val="0"/>
          <w:i/>
          <w:sz w:val="20"/>
        </w:rPr>
        <w:t>Result:</w:t>
      </w:r>
    </w:p>
    <w:p>
      <w:pPr>
        <w:spacing w:line="240" w:lineRule="auto" w:before="0" w:after="20"/>
        <w:ind w:left="624"/>
        <w:jc w:val="left"/>
      </w:pPr>
      <w:r>
        <w:rPr>
          <w:rFonts w:ascii="Times New Roman" w:hAnsi="Times New Roman" w:eastAsia="바탕체"/>
          <w:b w:val="0"/>
          <w:i/>
          <w:sz w:val="20"/>
        </w:rPr>
        <w:t>(123,54,24) -&gt; (3)</w:t>
      </w:r>
    </w:p>
    <w:p>
      <w:pPr>
        <w:spacing w:line="240" w:lineRule="auto" w:before="0" w:after="0"/>
        <w:jc w:val="left"/>
      </w:pPr>
      <w:r>
        <w:rPr>
          <w:rFonts w:ascii="Times New Roman" w:hAnsi="Times New Roman" w:eastAsia="바탕체"/>
          <w:b/>
          <w:i w:val="0"/>
          <w:sz w:val="18"/>
        </w:rPr>
        <w:t>Fig. 2. Palette-indexed PNG encoding. Palette indexing reduced image size by about 75%.</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표 1의 backbone 비교 결과 ConvNeXtV2-Base를 주 모델로 선정하였다.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FC-22k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FC-22k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FC-22k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F1과 추론 처리량을 함께 고려하였다. MaxViT-Base와 ConvNeXtV2-Base는 동일한 Test F1 0.87을 보였으나, ConvNeXtV2-Base가 처리량 측면에서 더 유리하였다.</w:t>
      </w:r>
    </w:p>
    <w:p>
      <w:pPr>
        <w:spacing w:line="240" w:lineRule="auto" w:after="40"/>
      </w:pPr>
      <w:r>
        <w:rPr>
          <w:rFonts w:ascii="Times New Roman" w:hAnsi="Times New Roman" w:eastAsia="바탕체"/>
          <w:b w:val="0"/>
          <w:i w:val="0"/>
          <w:sz w:val="20"/>
        </w:rPr>
        <w:t>Baseline CNN의 weighted F1 0.78은 ConvNeXtV2-Base로 0.87, Optuna HPO로 0.92, ROI 기반 YOLO 보정으로 0.95까지 개선되었다. 특히 혼동되는 클래스는 wafer 내 위치보다 chip 내부 defect morphology 차이로 구분되므로, 저신뢰 샘플에 대해 ROI 기반 YOLO로 chip 내부 국소 pattern을 재판별하였다(Fig.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CNN은 wafer-level center pattern만으로 B로 오분류했지만, ROI-YOLO가 chip pixel pattern을 검출해 A로 교정하였다.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검출하였다. wafer의 zone 기반 불량 해석 특성을 반영하기 위해 grid structured local sampling을 적용하였으며, 그 결과 13개 불량 후보 그룹이 검출되었다. 현업 분석 엔지니어 검증 결과 이 중 7개가 실제 불량 그룹으로 판정되었다(Fig. 4).</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운영 이미지에서 13개 후보 그룹이 검출되었고, 이 중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대량 Failbit Map 운영을 위한 데이터 파이프라인과 Known·Unknown 불량 분석 AI를 통합 구현하였다. 데이터 계층에서는 1시간 주기 생성과 저장 효율을 확보하였고, Known 경로는 F1 0.95를, Unknown 경로는 13개 불량 후보 그룹 검출과 7개 실제 불량 그룹 판정을 확인하였다. 이를 통해 Failbit Map 기반 불량 분석의 현업 적용 가능성을 보였다.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