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현업 적용을 위해서는 대량 Raw Data를 처리하는 데이터 파이프라인과 Failbit Map 기반 Known·Unknown 불량 분석 AI가 함께 필요하다.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방법과 검증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 구간으로, 웨이퍼당 약 1,000만 pixel에 대해 반복 수행되므로 Python 구현만으로는 처리량 확보가 어려웠다. 해당 루틴을 Cython으로 최적화하여 데이터 변환 속도를 약 100배 향상시켰다.</w:t>
      </w:r>
    </w:p>
    <w:p>
      <w:pPr>
        <w:spacing w:before="0" w:after="0"/>
      </w:pPr>
      <w:r>
        <w:rPr>
          <w:sz w:val="8"/>
        </w:rPr>
      </w:r>
    </w:p>
    <w:p>
      <w:pPr>
        <w:spacing w:before="0" w:after="20"/>
        <w:jc w:val="left"/>
      </w:pPr>
      <w:r>
        <w:drawing>
          <wp:inline xmlns:a="http://schemas.openxmlformats.org/drawingml/2006/main" xmlns:pic="http://schemas.openxmlformats.org/drawingml/2006/picture">
            <wp:extent cx="2880000" cy="666050"/>
            <wp:docPr id="1" name="Picture 1"/>
            <wp:cNvGraphicFramePr>
              <a:graphicFrameLocks noChangeAspect="1"/>
            </wp:cNvGraphicFramePr>
            <a:graphic>
              <a:graphicData uri="http://schemas.openxmlformats.org/drawingml/2006/picture">
                <pic:pic>
                  <pic:nvPicPr>
                    <pic:cNvPr id="0" name="_fig_hex_conversion.png"/>
                    <pic:cNvPicPr/>
                  </pic:nvPicPr>
                  <pic:blipFill>
                    <a:blip r:embed="rId9"/>
                    <a:stretch>
                      <a:fillRect/>
                    </a:stretch>
                  </pic:blipFill>
                  <pic:spPr>
                    <a:xfrm>
                      <a:off x="0" y="0"/>
                      <a:ext cx="2880000" cy="666050"/>
                    </a:xfrm>
                    <a:prstGeom prst="rect"/>
                  </pic:spPr>
                </pic:pic>
              </a:graphicData>
            </a:graphic>
          </wp:inline>
        </w:drawing>
      </w:r>
    </w:p>
    <w:p>
      <w:pPr>
        <w:spacing w:line="240" w:lineRule="auto" w:before="0" w:after="0"/>
        <w:jc w:val="left"/>
      </w:pPr>
      <w:r>
        <w:rPr>
          <w:rFonts w:ascii="Times New Roman" w:hAnsi="Times New Roman" w:eastAsia="바탕체"/>
          <w:b/>
          <w:i w:val="0"/>
          <w:sz w:val="18"/>
        </w:rPr>
        <w:t>Fig. 1. Hex-to-grade conversion. Cython optimization accelerated repeated conversion by about 100×.</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적용하여 이미지 용량을 약 75% 절감하였다.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880000" cy="766897"/>
            <wp:docPr id="2" name="Picture 2"/>
            <wp:cNvGraphicFramePr>
              <a:graphicFrameLocks noChangeAspect="1"/>
            </wp:cNvGraphicFramePr>
            <a:graphic>
              <a:graphicData uri="http://schemas.openxmlformats.org/drawingml/2006/picture">
                <pic:pic>
                  <pic:nvPicPr>
                    <pic:cNvPr id="0" name="_fig_palette_encoding.png"/>
                    <pic:cNvPicPr/>
                  </pic:nvPicPr>
                  <pic:blipFill>
                    <a:blip r:embed="rId10"/>
                    <a:stretch>
                      <a:fillRect/>
                    </a:stretch>
                  </pic:blipFill>
                  <pic:spPr>
                    <a:xfrm>
                      <a:off x="0" y="0"/>
                      <a:ext cx="2880000" cy="766897"/>
                    </a:xfrm>
                    <a:prstGeom prst="rect"/>
                  </pic:spPr>
                </pic:pic>
              </a:graphicData>
            </a:graphic>
          </wp:inline>
        </w:drawing>
      </w:r>
    </w:p>
    <w:p>
      <w:pPr>
        <w:spacing w:line="240" w:lineRule="auto" w:before="0" w:after="0"/>
        <w:jc w:val="left"/>
      </w:pPr>
      <w:r>
        <w:rPr>
          <w:rFonts w:ascii="Times New Roman" w:hAnsi="Times New Roman" w:eastAsia="바탕체"/>
          <w:b/>
          <w:i w:val="0"/>
          <w:sz w:val="18"/>
        </w:rPr>
        <w:t>Fig. 2. Palette-indexed PNG. Palette indexing reduced image size by about 75%.</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표 1의 backbone 비교 결과 ConvNeXtV2-Base를 주 모델로 선정하였다.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F1과 추론 처리량을 함께 고려하였다. MaxViT-Base와 ConvNeXtV2-Base는 동일한 Test F1 0.87을 보였으나, ConvNeXtV2-Base가 처리량 측면에서 더 유리하였다.</w:t>
      </w:r>
    </w:p>
    <w:p>
      <w:pPr>
        <w:spacing w:line="240" w:lineRule="auto" w:after="40"/>
      </w:pPr>
      <w:r>
        <w:rPr>
          <w:rFonts w:ascii="Times New Roman" w:hAnsi="Times New Roman" w:eastAsia="바탕체"/>
          <w:b w:val="0"/>
          <w:i w:val="0"/>
          <w:sz w:val="20"/>
        </w:rPr>
        <w:t>Baseline CNN의 weighted F1 0.78은 ConvNeXtV2-Base로 0.87, Optuna HPO로 0.92, ROI 기반 YOLO 보정으로 0.95까지 개선되었다. 특히 혼동되는 클래스는 wafer 내 위치보다 chip 내부 defect morphology 차이로 구분되므로, 저신뢰 샘플에 대해 ROI 기반 YOLO로 chip 내부 국소 pattern을 재판별하였다(Fig.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3" name="Picture 3"/>
            <wp:cNvGraphicFramePr>
              <a:graphicFrameLocks noChangeAspect="1"/>
            </wp:cNvGraphicFramePr>
            <a:graphic>
              <a:graphicData uri="http://schemas.openxmlformats.org/drawingml/2006/picture">
                <pic:pic>
                  <pic:nvPicPr>
                    <pic:cNvPr id="0" name="_fig_yolo_roi.png"/>
                    <pic:cNvPicPr/>
                  </pic:nvPicPr>
                  <pic:blipFill>
                    <a:blip r:embed="rId11"/>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CNN은 wafer-level center distribution만으로 B로 오분류했지만, ROI-YOLO가 chip pixel pattern을 검출해 A로 교정하였다.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검출하였다. wafer의 zone 기반 불량 해석 특성을 반영하기 위해 grid structured local sampling을 적용하였으며, 그 결과 13개 불량 후보 그룹이 검출되었다. 현업 분석 엔지니어 검증 결과 이 중 7개가 실제 불량 그룹으로 판정되었다(Fig. 4).</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4" name="Picture 4"/>
            <wp:cNvGraphicFramePr>
              <a:graphicFrameLocks noChangeAspect="1"/>
            </wp:cNvGraphicFramePr>
            <a:graphic>
              <a:graphicData uri="http://schemas.openxmlformats.org/drawingml/2006/picture">
                <pic:pic>
                  <pic:nvPicPr>
                    <pic:cNvPr id="0" name="_fig_cluster.png"/>
                    <pic:cNvPicPr/>
                  </pic:nvPicPr>
                  <pic:blipFill>
                    <a:blip r:embed="rId12"/>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운영 이미지에서 13개 후보 그룹이 검출되었고, 이 중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생성 파이프라인과 Known·Unknown 불량 분석 AI를 통합 구현하였다. 데이터 계층에서는 1시간 주기 생성, 데이터 변환 속도 약 100배 향상, 이미지 용량 약 75% 절감을 달성하였고, Known 경로는 F1 0.95를, Unknown 경로는 운영 이미지에서 13개 후보 그룹 중 7개 실제 불량 그룹 검출을 확인하였다. 이는 Failbit Map 기반 불량 분석이 현업 운영 데이터에서도 실질적으로 동작함을 보여주며, 대량 생성과 자동 분석을 통합한 End-to-End 적용 체계를 검증한 결과이다.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