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Python:</w:t>
      </w:r>
    </w:p>
    <w:p>
      <w:pPr>
        <w:spacing w:line="240" w:lineRule="auto" w:before="0" w:after="20"/>
        <w:ind w:left="624"/>
        <w:jc w:val="left"/>
      </w:pPr>
      <w:r>
        <w:rPr>
          <w:rFonts w:ascii="Times New Roman" w:hAnsi="Times New Roman" w:eastAsia="바탕체"/>
          <w:b w:val="0"/>
          <w:i/>
          <w:sz w:val="20"/>
        </w:rPr>
        <w:t>parse, convert, and correct for each pixel</w:t>
      </w:r>
    </w:p>
    <w:p>
      <w:pPr>
        <w:spacing w:line="240" w:lineRule="auto" w:before="0" w:after="0"/>
        <w:ind w:left="340"/>
        <w:jc w:val="left"/>
      </w:pPr>
      <w:r>
        <w:rPr>
          <w:rFonts w:ascii="Times New Roman" w:hAnsi="Times New Roman" w:eastAsia="바탕체"/>
          <w:b w:val="0"/>
          <w:i/>
          <w:sz w:val="20"/>
        </w:rPr>
        <w:t>Cython:</w:t>
      </w:r>
    </w:p>
    <w:p>
      <w:pPr>
        <w:spacing w:line="240" w:lineRule="auto" w:before="0" w:after="20"/>
        <w:ind w:left="624"/>
        <w:jc w:val="left"/>
      </w:pPr>
      <w:r>
        <w:rPr>
          <w:rFonts w:ascii="Times New Roman" w:hAnsi="Times New Roman" w:eastAsia="바탕체"/>
          <w:b w:val="0"/>
          <w:i/>
          <w:sz w:val="20"/>
        </w:rPr>
        <w:t>same workflow in a compiled integer loop</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Python은 pixel마다 parse, convert, and correct를 반복하지만, Cython은 동일 workflow를 compiled integer loop로 수행하여 변환 속도를 약 100배 향상시켰다.</w:t>
      </w:r>
    </w:p>
    <w:p>
      <w:pPr>
        <w:spacing w:before="0" w:after="120"/>
      </w:pPr>
      <w:r>
        <w:rPr>
          <w:sz w:val="8"/>
        </w:rPr>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RGB 값을 pixel마다 저장하는 대신 palette entry와 index 배열만 저장하여 이미지 용량을 약 75% 절감하였다.</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최종적으로 Class A로 분류하였다.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 이는 backbone 교체, HPO, ROI refinement가 단계적으로 누적 기여했음을 보여준다.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분석과 신규 불량 대응에 실질적으로 기여하고 있다. 향후 전 제품군 확산과 함께 FTN·QTN과 같은 전기적 측정값을 Failbit Map과 통합하여, 공간 패턴과 측정 신호를 함께 반영하는 multimodal 불량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