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DRAM Failbit Map 기반 Known·Unknown 불량 분석 AI 아키텍처</w:t>
      </w:r>
    </w:p>
    <w:p>
      <w:pPr>
        <w:spacing w:line="240" w:lineRule="auto" w:after="80"/>
        <w:jc w:val="center"/>
      </w:pPr>
      <w:r>
        <w:rPr>
          <w:rFonts w:ascii="Times New Roman" w:hAnsi="Times New Roman" w:eastAsia="바탕체"/>
          <w:b w:val="0"/>
          <w:i/>
          <w:sz w:val="20"/>
        </w:rPr>
        <w:t>An AI Architecture for Known/Unknown Defect Analysis Based on DRAM Failbit Maps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pixel 수준의 초고해상도 데이터로, 불량 패턴 분석의 핵심 자료이다. 그러나 실제 현업에서는 대량의 Failbit Map 조회가 불가능하고, 일부 Map 분석도 엔지니어의 수작업에 의존하고 있다. 본 논문은 이를 해결하기 위해 대규모 Failbit Map을 생성 및 저장하는 파이프라인과 Known 불량 분류와 Unknown 불량 검출 AI 아키텍처를 구현하였다. Cython 적용으로 데이터 변환 속도를 약 100배 향상시켰고, Palette PNG 적용으로 이미지 용량을 약 75% 절감하였다. Known 불량 분류는 ConvNeXtV2 기반 1차 분류와 저신뢰 샘플에 대한 ROI 기반 YOLO 2차 분류를 결합한 구조로 설계하였으며, F1-score 0.95를 달성하였다. Unknown 불량 검출은 레이블 없이 SimCLR 계열 contrastive learning 기반으로 수행하였고, wafer의 zone 기반 불량 해석 특성을 반영하기 위해 grid structured local sampling을 적용하였다. 실제 양산 5일치 Failbit Map 10,000장을 학습한 뒤 1일치 2,000장에 대해 추론한 결과 13개 불량 그룹이 검출되었으며, 현업 분석 엔지니어의 검증 결과 이 중 7개가 실제 불량 그룹으로 판정되어, 실제 운영 환경에서의 적용 가능성을 입증하였다.</w:t>
      </w:r>
    </w:p>
    <w:p>
      <w:pPr>
        <w:spacing w:line="240" w:lineRule="auto" w:after="80"/>
      </w:pPr>
      <w:r>
        <w:rPr>
          <w:rFonts w:ascii="Times New Roman" w:hAnsi="Times New Roman" w:eastAsia="바탕체"/>
          <w:b w:val="0"/>
          <w:i/>
          <w:sz w:val="18"/>
        </w:rPr>
        <w:t>Keywords: Failbit Map, Wafer Defect Analysis, ConvNeXtV2, Grad-CAM, YOLO, Contrastive Learning, HDBSCAN, Multimodal</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Memory Cell Block 단위의 불량 정도를 Grade 0(정상)부터 7(최대 불량)까지로 표현한 데이터이다. Wafer 1장에는 약 1,000만 개의 block이 존재하므로, Failbit Map은 불량의 위치와 형태를 반영하는 초고해상도 데이터이자 수율 저하 원인 분석의 핵심 분석 대상이다. 그러나 현업 분석은 Wafer 내 약 1,000개 Chip에서 산출된 Measure 값의 발생 개수를 기반으로 이상 여부를 판단하고 있어, Failbit Map에서만 발현되는 불량을 검출하지 못한다. 따라서 수율 개선 및 Drop 방지를 위해서는 Measure 기반 접근만으로는 충분하지 않으며, Failbit Map 자체를 핵심 분석 단위로 삼아야 한다.</w:t>
      </w:r>
    </w:p>
    <w:p>
      <w:pPr>
        <w:spacing w:line="240" w:lineRule="auto" w:after="40"/>
        <w:ind w:firstLine="283"/>
      </w:pPr>
      <w:r>
        <w:rPr>
          <w:rFonts w:ascii="Times New Roman" w:hAnsi="Times New Roman" w:eastAsia="바탕체"/>
          <w:b w:val="0"/>
          <w:i w:val="0"/>
          <w:sz w:val="20"/>
        </w:rPr>
        <w:t>실제 현업 적용에는 두 가지 제약이 있다. 첫째, 대량 Map 생성이 어렵다. 설비 Log는 Wafer당 10~50MB 수준이며, 특정 제품에서는 하루 약 2,000장의 Wafer가 발생한다. 그러나 기존 환경은 속도와 메모리 제약으로 대량 처리가 어려웠으며, 실제로는 한 번에 48매까지 확인 가능하여 전수 분석에 한계가 있었다. 둘째, Map이 생성되더라도 불량 여부와 유형 판단이 엔지니어의 수동 판독에 의존하므로 전수 분석이 어렵다. 본 논문은 이러한 한계를 해결하기 위해, 대량 Raw Data 처리를 위한 데이터 파이프라인과 Failbit Map 기반 Known 불량 분류, Unknown 불량 검출을 통합한 분석 아키텍처를 제안한다. 주요 기여는 다음과 같다.</w:t>
      </w:r>
    </w:p>
    <w:p>
      <w:pPr>
        <w:spacing w:line="240" w:lineRule="auto" w:after="40"/>
        <w:ind w:firstLine="283"/>
      </w:pPr>
      <w:r>
        <w:rPr>
          <w:rFonts w:ascii="Times New Roman" w:hAnsi="Times New Roman" w:eastAsia="바탕체"/>
          <w:b w:val="0"/>
          <w:i w:val="0"/>
          <w:sz w:val="20"/>
        </w:rPr>
        <w:t>첫째, 대량 설비 Log의 실시간 적재와 1시간 주기 Failbit Map 생성 체계를 구현하여, 대량 Map의 지속적 생성과 운영 활용이 가능한 데이터 처리 기반을 구축하였다. 둘째, Known 불량 분류는 ConvNeXt V2로 Wafer 내 불량 Chip들의 종류와 분포 패턴을 1차 분류하고, 유사 분포로 인해 혼동되는 샘플은 ROI 기반 YOLO로 개별 Chip object detection을 수행하여 2차 분류함으로써 성능을 향상시켰다. 셋째, 기존 분류 체계에 등록되지 않은 상태에서 새롭게 발생하는 Unknown 불량을 검출하기 위해 SimCLR 계열 contrastive learning 기반 분석 구조를 구현하였다. 또한 grid structured local sampling을 적용하여 발생 위치까지 반영함으로써, Unknown 불량을 보다 정밀하게 검출할 수 있도록 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파이프라인</w:t>
      </w:r>
    </w:p>
    <w:p>
      <w:pPr>
        <w:spacing w:line="240" w:lineRule="auto" w:after="40"/>
      </w:pPr>
      <w:r>
        <w:rPr>
          <w:rFonts w:ascii="Times New Roman" w:hAnsi="Times New Roman" w:eastAsia="바탕체"/>
          <w:b w:val="0"/>
          <w:i w:val="0"/>
          <w:sz w:val="20"/>
        </w:rPr>
        <w:t>주요 병목은 wafer당 약 1,000만 개의 암호화된 test 결과를 grade 값으로 변환하는 처리 속도와, 4K를 초과하는 초고해상도 이미지의 저장 용량 부담이었다. 이에 Cython 최적화로 데이터 변환 속도를 약 100배 향상시켰으며(Fig. 1), palette-indexed PNG 적용으로 이미지 용량을 약 75% 절감하였다(Fig.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 (if value != 0, subtract 9)</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Result:</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1단계는 ConvNeXtV2 기반 wafer-level 분류기로 구성하고, 저신뢰 샘플에 한해 2단계 ROI 기반 YOLO를 적용하였다.</w:t>
      </w:r>
    </w:p>
    <w:p>
      <w:pPr>
        <w:spacing w:line="240" w:lineRule="auto" w:after="40"/>
      </w:pPr>
      <w:r>
        <w:rPr>
          <w:rFonts w:ascii="Times New Roman" w:hAnsi="Times New Roman" w:eastAsia="바탕체"/>
          <w:b w:val="0"/>
          <w:i w:val="0"/>
          <w:sz w:val="20"/>
        </w:rPr>
        <w:t>특히 혼동되는 클래스는 wafer 내 defect chip distribution은 유사하지만 defect chip 내부 pixel morphology가 다르므로, wafer 전체 이미지를 보는 CNN만으로는 오분류가 발생할 수 있다. 이에 2단계 ROI-YOLO가 defect chip 내부 pattern을 추가로 판별하도록 구성하였다(Fig.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Known 불량 2단계 분류. CNN은 wafer-level center distribution만으로 B로 오분류했지만, ROI-YOLO가 chip pixel pattern을 검출해 최종적으로 Class A로 분류하였다.</w:t>
      </w:r>
    </w:p>
    <w:p>
      <w:pPr>
        <w:spacing w:before="0" w:after="120"/>
      </w:pPr>
      <w:r>
        <w:rPr>
          <w:sz w:val="8"/>
        </w:rPr>
      </w:r>
    </w:p>
    <w:p>
      <w:pPr>
        <w:spacing w:line="240" w:lineRule="auto" w:before="100" w:after="60"/>
      </w:pPr>
      <w:r>
        <w:rPr>
          <w:rFonts w:ascii="Times New Roman" w:hAnsi="Times New Roman" w:eastAsia="바탕체"/>
          <w:b/>
          <w:i w:val="0"/>
          <w:sz w:val="22"/>
        </w:rPr>
        <w:t>2.3 Unknown 불량 검출</w:t>
      </w:r>
    </w:p>
    <w:p>
      <w:pPr>
        <w:spacing w:line="240" w:lineRule="auto" w:after="40"/>
      </w:pPr>
      <w:r>
        <w:rPr>
          <w:rFonts w:ascii="Times New Roman" w:hAnsi="Times New Roman" w:eastAsia="바탕체"/>
          <w:b w:val="0"/>
          <w:i w:val="0"/>
          <w:sz w:val="20"/>
        </w:rPr>
        <w:t>Unknown 불량은 후보 grouping 문제로 정의하였다. 5일치 운영 데이터 약 10,000장으로 SimCLR 계열 contrastive learning 기반 임베딩을 학습하고, 별도 1일치 2,000장에 HDBSCAN을 적용하여 유사 패턴을 그룹화하였다. wafer의 zone 기반 불량 해석 특성을 반영하기 위해 grid structured local sampling을 적용하였다.</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 불량 grouping. 운영 이미지에서 13개 후보 그룹이 검출되었고, 이 중 7개가 실제 불량 그룹으로 판정되었다.</w:t>
      </w:r>
    </w:p>
    <w:p>
      <w:pPr>
        <w:spacing w:before="0" w:after="120"/>
      </w:pPr>
      <w:r>
        <w:rPr>
          <w:sz w:val="8"/>
        </w:rPr>
      </w:r>
    </w:p>
    <w:p>
      <w:pPr>
        <w:spacing w:line="240" w:lineRule="auto" w:before="200" w:after="200"/>
      </w:pPr>
      <w:r>
        <w:rPr>
          <w:rFonts w:ascii="Times New Roman" w:hAnsi="Times New Roman" w:eastAsia="바탕체"/>
          <w:b/>
          <w:i w:val="0"/>
          <w:sz w:val="22"/>
        </w:rPr>
        <w:t>3. 실험 결과</w:t>
      </w:r>
    </w:p>
    <w:p>
      <w:pPr>
        <w:spacing w:line="240" w:lineRule="auto" w:after="40"/>
      </w:pPr>
      <w:r>
        <w:rPr>
          <w:rFonts w:ascii="Times New Roman" w:hAnsi="Times New Roman" w:eastAsia="바탕체"/>
          <w:b w:val="0"/>
          <w:i w:val="0"/>
          <w:sz w:val="20"/>
        </w:rPr>
        <w:t>데이터 계층에서는 Cython 최적화로 hex-to-grade 변환 속도를 약 100배 향상시켰고, palette-indexed PNG 적용으로 이미지 용량을 약 75% 절감하였다. 이를 통해 1시간 주기의 Failbit Map 생성을 안정적으로 수행할 수 있었다.</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Backbone 및 개선 단계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구성</w:t>
            </w:r>
          </w:p>
        </w:tc>
        <w:tc>
          <w:tcPr>
            <w:tcW w:type="dxa" w:w="1077"/>
            <w:shd w:val="clear" w:color="auto" w:fill="D9E1F2"/>
          </w:tcPr>
          <w:p>
            <w:pPr>
              <w:jc w:val="center"/>
            </w:pPr>
            <w:r>
              <w:rPr>
                <w:rFonts w:ascii="Times New Roman" w:hAnsi="Times New Roman" w:eastAsia="바탕체"/>
                <w:b/>
                <w:i w:val="0"/>
                <w:sz w:val="16"/>
              </w:rPr>
              <w:t>사전학습</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비고</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pPr>
      <w:r>
        <w:rPr>
          <w:rFonts w:ascii="Times New Roman" w:hAnsi="Times New Roman" w:eastAsia="바탕체"/>
          <w:b w:val="0"/>
          <w:i w:val="0"/>
          <w:sz w:val="20"/>
        </w:rPr>
        <w:t>전체 운영 기준 하루 약 2만 장 이상의 Wafer가 1시간 주기로 처리되므로, backbone 선택에서는 성능과 처리량을 함께 고려하였다. MaxViT와 ConvNeXtV2 (Ref)는 동일한 test Weighted F1 0.87을 보였으나, ConvNeXtV2가 처리량 측면에서 더 유리하였다. Baseline CNN의 test Weighted F1 0.78은 ConvNeXtV2 (Ref)로 0.87, Ref + Optuna로 0.92, Ref + Optuna + ROI로 0.95까지 개선되었다. 이는 backbone 교체, HPO, ROI refinement가 단계적으로 누적 기여했음을 보여준다.</w:t>
      </w:r>
    </w:p>
    <w:p>
      <w:pPr>
        <w:spacing w:line="240" w:lineRule="auto" w:after="40"/>
      </w:pPr>
      <w:r>
        <w:rPr>
          <w:rFonts w:ascii="Times New Roman" w:hAnsi="Times New Roman" w:eastAsia="바탕체"/>
          <w:b w:val="0"/>
          <w:i w:val="0"/>
          <w:sz w:val="20"/>
        </w:rPr>
        <w:t>Unknown 경로에서는 운영 이미지 2,000장에 대한 grouping 결과 13개 후보 그룹이 검출되었으며, 현업 분석 엔지니어 검증 결과 이 중 7개가 실제 불량 그룹으로 판정되었다. 이는 미등록 불량을 실제 운영 데이터에서 직접 검출할 수 있음을 보여준다.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대량 Failbit Map 생성 파이프라인과 Known·Unknown 불량 분석 AI를 통합 구현하였다. 현재 DRAM 생산 라인에서 운영 중이며, 1시간 주기 Map 생성과 등록·미등록 불량 자동 분석을 통해 FAB 품질 분석과 신규 불량 대응에 실질적으로 기여하고 있다. 향후 전 제품군 확산과 함께 FTN·QTN과 같은 전기적 측정값을 Failbit Map과 통합하여, 공간 패턴과 측정 신호를 함께 반영하는 multimodal 불량 분석 구조로 확장할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Transactions on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Proceedings of the 57th ACM/IEEE Design Automation Conference (DAC), pp. 1-6, 2020.</w:t>
      </w:r>
    </w:p>
    <w:p>
      <w:pPr>
        <w:spacing w:line="240" w:lineRule="auto" w:after="20"/>
        <w:ind w:left="283" w:hanging="283"/>
      </w:pPr>
      <w:r>
        <w:rPr>
          <w:rFonts w:ascii="Times New Roman" w:hAnsi="Times New Roman" w:eastAsia="바탕체"/>
          <w:b w:val="0"/>
          <w:i w:val="0"/>
          <w:sz w:val="18"/>
        </w:rPr>
        <w:t>[3] J. Jang and G. T. Lee, "Decision fusion approach for detecting unknown wafer bin map patterns based on a deep multitask learning model," Expert Systems with Applications, vol. 215, art. 119363, 2023.</w:t>
      </w:r>
    </w:p>
    <w:p>
      <w:pPr>
        <w:spacing w:line="240" w:lineRule="auto" w:after="20"/>
        <w:ind w:left="283" w:hanging="283"/>
      </w:pPr>
      <w:r>
        <w:rPr>
          <w:rFonts w:ascii="Times New Roman" w:hAnsi="Times New Roman" w:eastAsia="바탕체"/>
          <w:b w:val="0"/>
          <w:i w:val="0"/>
          <w:sz w:val="18"/>
        </w:rPr>
        <w:t>[4]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[5] R. R. Selvaraju et al., "Grad-CAM: Visual Explanations From Deep Networks via Gradient-Based Localization," in Proceedings of the IEEE International Conference on Computer Vision (ICCV), pp. 618-626, 2017.</w:t>
      </w:r>
    </w:p>
    <w:p>
      <w:pPr>
        <w:spacing w:line="240" w:lineRule="auto" w:after="20"/>
        <w:ind w:left="283" w:hanging="283"/>
      </w:pPr>
      <w:r>
        <w:rPr>
          <w:rFonts w:ascii="Times New Roman" w:hAnsi="Times New Roman" w:eastAsia="바탕체"/>
          <w:b w:val="0"/>
          <w:i w:val="0"/>
          <w:sz w:val="18"/>
        </w:rPr>
        <w:t>[6]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[7] R. J. G. B. Campello, D. Moulavi, and J. Sander, "Density-Based Clustering Based on Hierarchical Density Estimates," in Advances in Knowledge Discovery and Data Mining, PAKDD 2013, pp. 160-172, 2013.</w:t>
      </w:r>
    </w:p>
    <w:p>
      <w:pPr>
        <w:spacing w:line="240" w:lineRule="auto" w:after="20"/>
        <w:ind w:left="283" w:hanging="283"/>
      </w:pPr>
      <w:r>
        <w:rPr>
          <w:rFonts w:ascii="Times New Roman" w:hAnsi="Times New Roman" w:eastAsia="바탕체"/>
          <w:b w:val="0"/>
          <w:i w:val="0"/>
          <w:sz w:val="18"/>
        </w:rPr>
        <w:t>[8] Hugging Face, "facebook/convnextv2-base-22k-384," model card, accessed Apr. 15, 2026. Available: https://huggingface.co/facebook/convnextv2-base-22k-384</w:t>
      </w:r>
    </w:p>
    <w:p>
      <w:pPr>
        <w:spacing w:line="240" w:lineRule="auto" w:after="20"/>
        <w:ind w:left="283" w:hanging="283"/>
      </w:pPr>
      <w:r>
        <w:rPr>
          <w:rFonts w:ascii="Times New Roman" w:hAnsi="Times New Roman" w:eastAsia="바탕체"/>
          <w:b w:val="0"/>
          <w:i w:val="0"/>
          <w:sz w:val="18"/>
        </w:rPr>
        <w:t>[9] Hugging Face timm, "maxvit_base_tf_384.in21k_ft_in1k," model card, accessed Apr. 15, 2026. Available: https://huggingface.co/timm/maxvit_base_tf_384.in21k_ft_in1k</w:t>
      </w:r>
    </w:p>
    <w:p>
      <w:pPr>
        <w:spacing w:line="240" w:lineRule="auto" w:after="20"/>
        <w:ind w:left="283" w:hanging="283"/>
      </w:pPr>
      <w:r>
        <w:rPr>
          <w:rFonts w:ascii="Times New Roman" w:hAnsi="Times New Roman" w:eastAsia="바탕체"/>
          <w:b w:val="0"/>
          <w:i w:val="0"/>
          <w:sz w:val="18"/>
        </w:rPr>
        <w:t>[10] Z. Tu et al., "MaxViT: Multi-Axis Vision Transformer," in Proceedings of the European Conference on Computer Vision (ECCV), pp. 459-479, 2022.</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