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Storage에 실시간 적재하고, 이를 1시간 주기로 Failbit Map으로 변환·생성하도록 구성하였다. 핵심 병목은 raw hex block을 2글자씩 읽어 grade로 변환하는 구간이다. 이 연산이 웨이퍼당 약 1,000만 pixel 규모에서 반복되므로 Python 기반 구현만으로는 주기적 생성이 어려웠고, 해당 루틴을 Cython으로 전환하여 핵심 데이터 변환 속도를 약 100배 향상시켰다.</w:t>
      </w:r>
    </w:p>
    <w:p>
      <w:pPr>
        <w:spacing w:after="60" w:line="240" w:lineRule="auto"/>
        <w:ind w:left="227" w:right="113"/>
      </w:pPr>
      <w:r>
        <w:rPr>
          <w:rFonts w:ascii="Consolas" w:hAnsi="Consolas" w:eastAsia="Consolas"/>
          <w:sz w:val="18"/>
        </w:rPr>
        <w:t>h_i:        0A   09   0B   0C</w:t>
      </w:r>
    </w:p>
    <w:p>
      <w:pPr>
        <w:spacing w:after="60" w:line="240" w:lineRule="auto"/>
        <w:ind w:left="227" w:right="113"/>
      </w:pPr>
      <w:r>
        <w:rPr>
          <w:rFonts w:ascii="Consolas" w:hAnsi="Consolas" w:eastAsia="Consolas"/>
          <w:sz w:val="18"/>
        </w:rPr>
        <w:t>v_i:        10    9   11   12</w:t>
      </w:r>
    </w:p>
    <w:p>
      <w:pPr>
        <w:spacing w:after="60" w:line="240" w:lineRule="auto"/>
        <w:ind w:left="227" w:right="113"/>
      </w:pPr>
      <w:r>
        <w:rPr>
          <w:rFonts w:ascii="Consolas" w:hAnsi="Consolas" w:eastAsia="Consolas"/>
          <w:sz w:val="18"/>
        </w:rPr>
        <w:t>g_i:         1    0    2    3</w:t>
      </w:r>
    </w:p>
    <w:p>
      <w:pPr>
        <w:spacing w:after="80" w:line="240" w:lineRule="auto"/>
        <w:ind w:left="227" w:right="113"/>
      </w:pPr>
      <w:r>
        <w:rPr>
          <w:rFonts w:ascii="Consolas" w:hAnsi="Consolas" w:eastAsia="Consolas"/>
          <w:sz w:val="18"/>
        </w:rPr>
        <w:t>v_i = int(h_i, 16),    g_i = max(v_i - 9, 0)</w:t>
      </w:r>
    </w:p>
    <w:p>
      <w:pPr>
        <w:spacing w:line="240" w:lineRule="auto" w:after="40"/>
      </w:pPr>
      <w:r>
        <w:rPr>
          <w:rFonts w:ascii="Times New Roman" w:hAnsi="Times New Roman" w:eastAsia="바탕체"/>
          <w:b w:val="0"/>
          <w:i w:val="0"/>
          <w:sz w:val="20"/>
        </w:rPr>
        <w:t>또한 Failbit Map은 grade와 boundary 등 제한된 색상 집합만 사용하므로 RGB PNG 대신 palette-indexed PNG를 적용하였다. 동일 색상은 palette에 1회만 정의하고 각 pixel에는 index만 저장하여 이미지 용량을 약 75% 절감하였다.</w:t>
      </w:r>
    </w:p>
    <w:p>
      <w:pPr>
        <w:spacing w:after="20" w:line="240" w:lineRule="auto"/>
        <w:ind w:left="227" w:right="113"/>
      </w:pPr>
      <w:r>
        <w:rPr>
          <w:rFonts w:ascii="Consolas" w:hAnsi="Consolas" w:eastAsia="Consolas"/>
          <w:sz w:val="16"/>
        </w:rPr>
        <w:t>Conventional RGB:</w:t>
      </w:r>
    </w:p>
    <w:p>
      <w:pPr>
        <w:spacing w:after="0" w:line="240" w:lineRule="auto"/>
        <w:ind w:left="227" w:right="113"/>
      </w:pPr>
      <w:r>
        <w:rPr>
          <w:rFonts w:ascii="Consolas" w:hAnsi="Consolas" w:eastAsia="Consolas"/>
          <w:sz w:val="16"/>
        </w:rPr>
        <w:t>[(123,54,24), (123,54,24), (123,54,24), (123,54,24)]</w:t>
      </w:r>
    </w:p>
    <w:p>
      <w:pPr>
        <w:spacing w:after="0" w:line="240" w:lineRule="auto"/>
        <w:ind w:left="227" w:right="113"/>
      </w:pPr>
      <w:r>
        <w:rPr>
          <w:rFonts w:ascii="Consolas" w:hAnsi="Consolas" w:eastAsia="Consolas"/>
          <w:sz w:val="16"/>
        </w:rPr>
        <w:t>[(123,54,24), (123,54,24), (123,54,24), (123,54,24)]</w:t>
      </w:r>
    </w:p>
    <w:p>
      <w:pPr>
        <w:spacing w:after="40" w:line="240" w:lineRule="auto"/>
        <w:ind w:left="227" w:right="113"/>
      </w:pPr>
      <w:r>
        <w:rPr>
          <w:rFonts w:ascii="Consolas" w:hAnsi="Consolas" w:eastAsia="Consolas"/>
          <w:sz w:val="16"/>
        </w:rPr>
        <w:t>[(123,54,24), (123,54,24), (123,54,24), (123,54,24)]</w:t>
      </w:r>
    </w:p>
    <w:p>
      <w:pPr>
        <w:spacing w:after="20" w:line="240" w:lineRule="auto"/>
        <w:ind w:left="227" w:right="113"/>
      </w:pPr>
      <w:r>
        <w:rPr>
          <w:rFonts w:ascii="Consolas" w:hAnsi="Consolas" w:eastAsia="Consolas"/>
          <w:sz w:val="16"/>
        </w:rPr>
        <w:t>Palette-indexed PNG:</w:t>
      </w:r>
    </w:p>
    <w:p>
      <w:pPr>
        <w:spacing w:after="0" w:line="240" w:lineRule="auto"/>
        <w:ind w:left="227" w:right="113"/>
      </w:pPr>
      <w:r>
        <w:rPr>
          <w:rFonts w:ascii="Consolas" w:hAnsi="Consolas" w:eastAsia="Consolas"/>
          <w:sz w:val="16"/>
        </w:rPr>
        <w:t>P[1] = (123,54,24)</w:t>
      </w:r>
    </w:p>
    <w:p>
      <w:pPr>
        <w:spacing w:after="0" w:line="240" w:lineRule="auto"/>
        <w:ind w:left="227" w:right="113"/>
      </w:pPr>
      <w:r>
        <w:rPr>
          <w:rFonts w:ascii="Consolas" w:hAnsi="Consolas" w:eastAsia="Consolas"/>
          <w:sz w:val="16"/>
        </w:rPr>
        <w:t>I = [[1, 1, 1, 1],</w:t>
      </w:r>
    </w:p>
    <w:p>
      <w:pPr>
        <w:spacing w:after="0" w:line="240" w:lineRule="auto"/>
        <w:ind w:left="227" w:right="113"/>
      </w:pPr>
      <w:r>
        <w:rPr>
          <w:rFonts w:ascii="Consolas" w:hAnsi="Consolas" w:eastAsia="Consolas"/>
          <w:sz w:val="16"/>
        </w:rPr>
        <w:t xml:space="preserve">     [1, 1, 1, 1],</w:t>
      </w:r>
    </w:p>
    <w:p>
      <w:pPr>
        <w:spacing w:after="80" w:line="240" w:lineRule="auto"/>
        <w:ind w:left="227" w:right="113"/>
      </w:pPr>
      <w:r>
        <w:rPr>
          <w:rFonts w:ascii="Consolas" w:hAnsi="Consolas" w:eastAsia="Consolas"/>
          <w:sz w:val="16"/>
        </w:rPr>
        <w:t xml:space="preserve">     [1, 1, 1, 1]]</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주 모델은 ConvNeXtV2를 사용하였고, center, edge, local 계열처럼 전역 형상만으로 구분이 어려운 저신뢰 샘플에 한해 ROI 기반 YOLO를 선택적으로 적용하는 2단계 구조로 설계하였다. 그 결과 ConvNeXtV2 단독 분류기의 weighted F1 0.92를 0.95까지 향상시켜, 유사 클래스 간 오분류를 효과적으로 보정할 수 있음을 확인하였다(Fig. 2).</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7397"/>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7397"/>
                    </a:xfrm>
                    <a:prstGeom prst="rect"/>
                  </pic:spPr>
                </pic:pic>
              </a:graphicData>
            </a:graphic>
          </wp:inline>
        </w:drawing>
      </w:r>
    </w:p>
    <w:p>
      <w:pPr>
        <w:spacing w:line="240" w:lineRule="auto" w:before="0" w:after="0"/>
        <w:jc w:val="left"/>
      </w:pPr>
      <w:r>
        <w:rPr>
          <w:rFonts w:ascii="Times New Roman" w:hAnsi="Times New Roman" w:eastAsia="바탕체"/>
          <w:b/>
          <w:i w:val="0"/>
          <w:sz w:val="18"/>
        </w:rPr>
        <w:t>Fig. 2. Known 불량 2단계 분류 예시. 좌측 두 패널은 혼동되는 Class A/B 예시이며, 우측은 CNN이 B로 오분류한 샘플을 ROI-YOLO가 A로 교정한 사례를 보여준다.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후보 grouping 문제로 정의하였다. 특정 제품의 5일치 운영 데이터 약 10,000장으로 SimCLR 계열 contrastive learning 기반 임베딩을 학습하고, 별도 1일치 2,000장에 HDBSCAN을 적용하여 유사 패턴을 그룹 단위로 압축하였다. 이때 wafer의 zone 기반 불량 해석 특성을 반영하기 위해 grid structured local sampling을 적용하였다. 그 결과 2,000장의 운영 이미지는 13개 후보 그룹으로 정리되었으며, 현업 분석 엔지니어 검증 결과 이 중 7개가 실제 불량 그룹으로 판정되었다(Fig.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3. Unknown 불량 grouping 예시. 실제 운영 이미지가 유사 패턴 기준으로 자동 압축된 후보 그룹을 보여주며, 이후 현업 분석 엔지니어 검증 대상으로 사용된다.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조회가 불가능하고 일부 Map 분석이 엔지니어의 육안 판단에 의존하던 환경에서, 데이터 생성 파이프라인과 Known·Unknown 불량 분석 AI를 통합한 현업 적용형 구조를 제시하였다. 데이터 계층에서는 1시간 주기 Map 생성이 가능한 처리 성능과 저장 효율을 확보하였고, Known 경로에서는 높은 분류 성능을, Unknown 경로에서는 실제 검토 가능한 후보 그룹 발굴 성과를 확인하였다. 이를 통해 Failbit Map을 수작업 기반 시각 자료가 아니라 대량 운영 데이터 기반의 핵심 분석 단위로 전환할 수 있음을 보였다.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