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본 논문은 대량 Raw Data를 처리하는 데이터 파이프라인과 Failbit Map 기반 Known 불량 분류 및 Unknown 불량 검출을 통합한 AI 아키텍처를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실시간 적재하고 1시간 주기로 Failbit Map을 생성하도록 구성하였다. 핵심 병목은 raw hex stream의 grade 변환으로, 약 1,000만 pixel 반복 처리 때문에 Python 구현만으로는 처리량 확보가 어려웠다. 해당 루틴을 Cython으로 전환하여 데이터 변환 속도를 약 100배 향상시켰다.</w:t>
      </w:r>
    </w:p>
    <w:p>
      <w:pPr>
        <w:spacing w:line="240" w:lineRule="auto" w:after="20"/>
      </w:pPr>
      <w:r>
        <w:rPr>
          <w:rFonts w:ascii="Times New Roman" w:hAnsi="Times New Roman" w:eastAsia="바탕체"/>
          <w:b w:val="0"/>
          <w:i w:val="0"/>
          <w:sz w:val="20"/>
        </w:rPr>
        <w:t>Hex-to-grade conversion:</w:t>
      </w:r>
    </w:p>
    <w:p>
      <w:pPr>
        <w:spacing w:before="0" w:after="0"/>
      </w:pPr>
      <w:r>
        <w:rPr>
          <w:sz w:val="8"/>
        </w:rPr>
      </w:r>
    </w:p>
    <w:p>
      <w:pPr>
        <w:spacing w:line="240" w:lineRule="auto" w:before="40" w:after="40"/>
        <w:ind w:left="624"/>
        <w:jc w:val="left"/>
      </w:pPr>
      <w:r>
        <w:rPr>
          <w:rFonts w:ascii="Times New Roman" w:hAnsi="Times New Roman" w:eastAsia="바탕체"/>
          <w:b w:val="0"/>
          <w:i/>
          <w:sz w:val="20"/>
        </w:rPr>
        <w:t>09090909090A -&gt; 09 09 09 09 09 0A -&gt; 9 9 9 9 9 10 -&gt; 0 0 0 0 0 1</w:t>
      </w:r>
      <w:r>
        <w:rPr>
          <w:rFonts w:ascii="Times New Roman" w:hAnsi="Times New Roman" w:eastAsia="바탕체"/>
          <w:b w:val="0"/>
          <w:i w:val="0"/>
          <w:sz w:val="20"/>
        </w:rPr>
        <w:t xml:space="preserve">        (1)</w:t>
      </w:r>
    </w:p>
    <w:p>
      <w:pPr>
        <w:spacing w:line="240" w:lineRule="auto" w:before="40" w:after="20"/>
        <w:ind w:left="624"/>
        <w:jc w:val="left"/>
      </w:pPr>
      <w:r>
        <w:rPr>
          <w:rFonts w:ascii="Times New Roman" w:hAnsi="Times New Roman" w:eastAsia="바탕체"/>
          <w:b w:val="0"/>
          <w:i/>
          <w:sz w:val="20"/>
        </w:rPr>
        <w:t>g(v) = max(v - 9, 0)</w:t>
      </w:r>
    </w:p>
    <w:p>
      <w:pPr>
        <w:spacing w:line="240" w:lineRule="auto" w:before="0" w:after="0"/>
        <w:jc w:val="left"/>
      </w:pPr>
      <w:r>
        <w:rPr>
          <w:rFonts w:ascii="Times New Roman" w:hAnsi="Times New Roman" w:eastAsia="바탕체"/>
          <w:b/>
          <w:i w:val="0"/>
          <w:sz w:val="18"/>
        </w:rPr>
        <w:t>Fig. 1. Raw hex-to-grade conversion example. Continuous hex stream is split into 2-character units, converted to decimal values, and corrected to final grade values.</w:t>
      </w:r>
    </w:p>
    <w:p>
      <w:pPr>
        <w:spacing w:before="0" w:after="120"/>
      </w:pPr>
      <w:r>
        <w:rPr>
          <w:sz w:val="8"/>
        </w:rPr>
      </w:r>
    </w:p>
    <w:p>
      <w:pPr>
        <w:spacing w:line="240" w:lineRule="auto" w:after="40"/>
      </w:pPr>
      <w:r>
        <w:rPr>
          <w:rFonts w:ascii="Times New Roman" w:hAnsi="Times New Roman" w:eastAsia="바탕체"/>
          <w:b w:val="0"/>
          <w:i w:val="0"/>
          <w:sz w:val="20"/>
        </w:rPr>
        <w:t>Failbit Map은 제한된 색상 집합만 사용하므로 palette-indexed PNG를 적용하여 이미지 용량을 약 75% 절감하였다.</w:t>
      </w:r>
    </w:p>
    <w:p>
      <w:pPr>
        <w:spacing w:line="240" w:lineRule="auto" w:after="20"/>
      </w:pPr>
      <w:r>
        <w:rPr>
          <w:rFonts w:ascii="Times New Roman" w:hAnsi="Times New Roman" w:eastAsia="바탕체"/>
          <w:b w:val="0"/>
          <w:i w:val="0"/>
          <w:sz w:val="20"/>
        </w:rPr>
        <w:t>RGB PNG vs Palette-indexed PNG:</w:t>
      </w:r>
    </w:p>
    <w:p>
      <w:pPr>
        <w:spacing w:before="0" w:after="0"/>
      </w:pPr>
      <w:r>
        <w:rPr>
          <w:sz w:val="8"/>
        </w:rPr>
      </w:r>
    </w:p>
    <w:p>
      <w:pPr>
        <w:spacing w:line="240" w:lineRule="auto" w:before="40" w:after="40"/>
        <w:ind w:left="340"/>
        <w:jc w:val="left"/>
      </w:pPr>
      <w:r>
        <w:rPr>
          <w:rFonts w:ascii="Times New Roman" w:hAnsi="Times New Roman" w:eastAsia="바탕체"/>
          <w:b w:val="0"/>
          <w:i/>
          <w:sz w:val="20"/>
        </w:rPr>
        <w:t>RGB PNG:</w:t>
      </w:r>
      <w:r>
        <w:rPr>
          <w:rFonts w:ascii="Times New Roman" w:hAnsi="Times New Roman" w:eastAsia="바탕체"/>
          <w:b w:val="0"/>
          <w:i w:val="0"/>
          <w:sz w:val="20"/>
        </w:rPr>
        <w:t xml:space="preserve">        (2)</w:t>
      </w:r>
    </w:p>
    <w:p>
      <w:pPr>
        <w:spacing w:line="240" w:lineRule="auto" w:before="40" w:after="40"/>
        <w:ind w:left="624"/>
        <w:jc w:val="left"/>
      </w:pPr>
      <w:r>
        <w:rPr>
          <w:rFonts w:ascii="Times New Roman" w:hAnsi="Times New Roman" w:eastAsia="바탕체"/>
          <w:b w:val="0"/>
          <w:i/>
          <w:sz w:val="20"/>
        </w:rPr>
        <w:t>[(123,54,24), (123,54,24), ..., (123,54,24)],</w:t>
      </w:r>
    </w:p>
    <w:p>
      <w:pPr>
        <w:spacing w:line="240" w:lineRule="auto" w:before="40" w:after="40"/>
        <w:ind w:left="624"/>
        <w:jc w:val="left"/>
      </w:pPr>
      <w:r>
        <w:rPr>
          <w:rFonts w:ascii="Times New Roman" w:hAnsi="Times New Roman" w:eastAsia="바탕체"/>
          <w:b w:val="0"/>
          <w:i/>
          <w:sz w:val="20"/>
        </w:rPr>
        <w:t>[(123,54,24), (123,54,24), ..., (123,54,24)]</w:t>
      </w:r>
    </w:p>
    <w:p>
      <w:pPr>
        <w:spacing w:line="240" w:lineRule="auto" w:before="40" w:after="40"/>
        <w:ind w:left="340"/>
        <w:jc w:val="left"/>
      </w:pPr>
      <w:r>
        <w:rPr>
          <w:rFonts w:ascii="Times New Roman" w:hAnsi="Times New Roman" w:eastAsia="바탕체"/>
          <w:b w:val="0"/>
          <w:i/>
          <w:sz w:val="20"/>
        </w:rPr>
        <w:t>Palette-indexed PNG:</w:t>
      </w:r>
    </w:p>
    <w:p>
      <w:pPr>
        <w:spacing w:line="240" w:lineRule="auto" w:before="40" w:after="40"/>
        <w:ind w:left="624"/>
        <w:jc w:val="left"/>
      </w:pPr>
      <w:r>
        <w:rPr>
          <w:rFonts w:ascii="Times New Roman" w:hAnsi="Times New Roman" w:eastAsia="바탕체"/>
          <w:b w:val="0"/>
          <w:i/>
          <w:sz w:val="20"/>
        </w:rPr>
        <w:t>P[3] = (123,54,24)</w:t>
      </w:r>
    </w:p>
    <w:p>
      <w:pPr>
        <w:spacing w:line="240" w:lineRule="auto" w:before="40" w:after="40"/>
        <w:ind w:left="624"/>
        <w:jc w:val="left"/>
      </w:pPr>
      <w:r>
        <w:rPr>
          <w:rFonts w:ascii="Times New Roman" w:hAnsi="Times New Roman" w:eastAsia="바탕체"/>
          <w:b w:val="0"/>
          <w:i/>
          <w:sz w:val="20"/>
        </w:rPr>
        <w:t>[(3), (3), ..., (3)],</w:t>
      </w:r>
    </w:p>
    <w:p>
      <w:pPr>
        <w:spacing w:line="240" w:lineRule="auto" w:before="40" w:after="40"/>
        <w:ind w:left="624"/>
        <w:jc w:val="left"/>
      </w:pPr>
      <w:r>
        <w:rPr>
          <w:rFonts w:ascii="Times New Roman" w:hAnsi="Times New Roman" w:eastAsia="바탕체"/>
          <w:b w:val="0"/>
          <w:i/>
          <w:sz w:val="20"/>
        </w:rPr>
        <w:t>[(3), (3), ..., (3)]</w:t>
      </w:r>
    </w:p>
    <w:p>
      <w:pPr>
        <w:spacing w:line="240" w:lineRule="auto" w:before="40" w:after="20"/>
        <w:ind w:left="624"/>
        <w:jc w:val="left"/>
      </w:pPr>
      <w:r>
        <w:rPr>
          <w:rFonts w:ascii="Times New Roman" w:hAnsi="Times New Roman" w:eastAsia="바탕체"/>
          <w:b w:val="0"/>
          <w:i/>
          <w:sz w:val="20"/>
        </w:rPr>
        <w:t>Result:  (123,54,24) -&gt; (3)</w:t>
      </w:r>
    </w:p>
    <w:p>
      <w:pPr>
        <w:spacing w:line="240" w:lineRule="auto" w:before="0" w:after="0"/>
        <w:jc w:val="left"/>
      </w:pPr>
      <w:r>
        <w:rPr>
          <w:rFonts w:ascii="Times New Roman" w:hAnsi="Times New Roman" w:eastAsia="바탕체"/>
          <w:b/>
          <w:i w:val="0"/>
          <w:sz w:val="18"/>
        </w:rPr>
        <w:t>Fig. 2. Palette-indexed PNG encoding example. Repeated RGB values are defined once in the palette, and each pixel stores only the palette index.</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표 1의 backbone 비교 결과 ConvNeXtV2-Base를 주 모델로 선정하였다.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F1과 추론 처리량을 함께 고려하였다. MaxViT-Base와 ConvNeXtV2-Base는 동일한 Test F1 0.87을 보였으나, ConvNeXtV2-Base가 처리량 측면에서 더 유리하였다.</w:t>
      </w:r>
    </w:p>
    <w:p>
      <w:pPr>
        <w:spacing w:line="240" w:lineRule="auto" w:after="40"/>
      </w:pPr>
      <w:r>
        <w:rPr>
          <w:rFonts w:ascii="Times New Roman" w:hAnsi="Times New Roman" w:eastAsia="바탕체"/>
          <w:b w:val="0"/>
          <w:i w:val="0"/>
          <w:sz w:val="20"/>
        </w:rPr>
        <w:t>Baseline CNN의 weighted F1 0.78은 ConvNeXtV2-Base로 0.87, Optuna HPO로 0.92, ROI 기반 YOLO 보정으로 0.95까지 개선되었다. ROI 기반 YOLO는 전역 형상만으로 혼동되는 저신뢰 샘플의 오분류를 교정하였다(Fig.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7397"/>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7397"/>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예시. 좌측 두 패널은 혼동되는 Class A/B 예시이며, 우측은 CNN이 B로 오분류한 샘플을 ROI-YOLO가 A로 교정한 사례를 보여준다.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검출하였다. wafer의 zone 기반 불량 해석 특성을 반영하기 위해 grid structured local sampling을 적용하였으며, 그 결과 13개 불량 후보 그룹이 검출되었다. 현업 분석 엔지니어 검증 결과 이 중 7개가 실제 불량 그룹으로 판정되었다(Fig. 4).</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예시. 운영 이미지에서 검출된 13개 후보 그룹 중 현업 분석 엔지니어 검증 결과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대량 Failbit Map 운영을 위한 데이터 파이프라인과 Known·Unknown 불량 분석 AI를 통합 구현하였다. 데이터 계층에서는 1시간 주기 생성과 저장 효율을 확보하였고, Known 경로는 F1 0.95를, Unknown 경로는 13개 불량 후보 그룹 검출과 7개 실제 불량 그룹 판정을 확인하였다. 이를 통해 Failbit Map 기반 불량 분석의 현업 적용 가능성을 보였다.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