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변환으로, 약 1,000만 pixel 반복 처리 때문에 Python 구현만으로는 처리량 확보가 어려웠다. 해당 루틴을 Cython으로 전환하여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 hex stream:</w:t>
      </w:r>
    </w:p>
    <w:p>
      <w:pPr>
        <w:spacing w:line="240" w:lineRule="auto" w:before="0" w:after="20"/>
        <w:ind w:left="624"/>
        <w:jc w:val="left"/>
      </w:pPr>
      <w:r>
        <w:rPr>
          <w:rFonts w:ascii="Times New Roman" w:hAnsi="Times New Roman" w:eastAsia="바탕체"/>
          <w:b w:val="0"/>
          <w:i/>
          <w:sz w:val="20"/>
        </w:rPr>
        <w:t>09090909090A</w:t>
      </w:r>
    </w:p>
    <w:p>
      <w:pPr>
        <w:spacing w:line="240" w:lineRule="auto" w:before="0" w:after="0"/>
        <w:ind w:left="340"/>
        <w:jc w:val="left"/>
      </w:pPr>
      <w:r>
        <w:rPr>
          <w:rFonts w:ascii="Times New Roman" w:hAnsi="Times New Roman" w:eastAsia="바탕체"/>
          <w:b w:val="0"/>
          <w:i/>
          <w:sz w:val="20"/>
        </w:rPr>
        <w:t>Hex split:</w:t>
      </w:r>
    </w:p>
    <w:p>
      <w:pPr>
        <w:spacing w:line="240" w:lineRule="auto" w:before="0" w:after="20"/>
        <w:ind w:left="624"/>
        <w:jc w:val="left"/>
      </w:pPr>
      <w:r>
        <w:rPr>
          <w:rFonts w:ascii="Times New Roman" w:hAnsi="Times New Roman" w:eastAsia="바탕체"/>
          <w:b w:val="0"/>
          <w:i/>
          <w:sz w:val="20"/>
        </w:rPr>
        <w:t>09 09 09 09 09 0A</w:t>
      </w:r>
    </w:p>
    <w:p>
      <w:pPr>
        <w:spacing w:line="240" w:lineRule="auto" w:before="0" w:after="0"/>
        <w:ind w:left="340"/>
        <w:jc w:val="left"/>
      </w:pPr>
      <w:r>
        <w:rPr>
          <w:rFonts w:ascii="Times New Roman" w:hAnsi="Times New Roman" w:eastAsia="바탕체"/>
          <w:b w:val="0"/>
          <w:i/>
          <w:sz w:val="20"/>
        </w:rPr>
        <w:t>Decimal row:</w:t>
      </w:r>
    </w:p>
    <w:p>
      <w:pPr>
        <w:spacing w:line="240" w:lineRule="auto" w:before="0" w:after="20"/>
        <w:ind w:left="624"/>
        <w:jc w:val="left"/>
      </w:pPr>
      <w:r>
        <w:rPr>
          <w:rFonts w:ascii="Times New Roman" w:hAnsi="Times New Roman" w:eastAsia="바탕체"/>
          <w:b w:val="0"/>
          <w:i/>
          <w:sz w:val="20"/>
        </w:rPr>
        <w:t>9 9 9 9 9 10</w:t>
      </w:r>
    </w:p>
    <w:p>
      <w:pPr>
        <w:spacing w:line="240" w:lineRule="auto" w:before="0" w:after="0"/>
        <w:ind w:left="340"/>
        <w:jc w:val="left"/>
      </w:pPr>
      <w:r>
        <w:rPr>
          <w:rFonts w:ascii="Times New Roman" w:hAnsi="Times New Roman" w:eastAsia="바탕체"/>
          <w:b w:val="0"/>
          <w:i/>
          <w:sz w:val="20"/>
        </w:rPr>
        <w:t>Grade row:</w:t>
      </w:r>
    </w:p>
    <w:p>
      <w:pPr>
        <w:spacing w:line="240" w:lineRule="auto" w:before="0" w:after="20"/>
        <w:ind w:left="624"/>
        <w:jc w:val="left"/>
      </w:pPr>
      <w:r>
        <w:rPr>
          <w:rFonts w:ascii="Times New Roman" w:hAnsi="Times New Roman" w:eastAsia="바탕체"/>
          <w:b w:val="0"/>
          <w:i/>
          <w:sz w:val="20"/>
        </w:rPr>
        <w:t>0 0 0 0 0 1</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g(v) = max(v - 9, 0)</w:t>
      </w:r>
    </w:p>
    <w:p>
      <w:pPr>
        <w:spacing w:line="240" w:lineRule="auto" w:before="0" w:after="0"/>
        <w:jc w:val="left"/>
      </w:pPr>
      <w:r>
        <w:rPr>
          <w:rFonts w:ascii="Times New Roman" w:hAnsi="Times New Roman" w:eastAsia="바탕체"/>
          <w:b/>
          <w:i w:val="0"/>
          <w:sz w:val="18"/>
        </w:rPr>
        <w:t>Fig. 1. Raw hex-to-grade conversion example. Continuous hex stream is split into 2-character units, converted to decimal values, and corrected to final grade values.</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ROI 기반 YOLO는 전역 형상만으로 혼동되는 저신뢰 샘플의 오분류를 교정하였다(Fig.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좌측 두 패널은 혼동되는 Class A/B 예시이며, 우측은 CNN이 B로 오분류한 샘플을 ROI-YOLO가 A로 교정한 사례를 보여준다.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