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구간이다. 앞자리가 항상 0인 데이터 특성상 변환은 뒷자리 hex 문자만 처리하면 되지만, 이 단순 연산도 1 wafer당 평균 약 1,000만 회 반복되므로 Python 구현에서는 반복문과 분기 실행 오버헤드가 누적된다. 해당 루틴을 Cython으로 전환하여 동일 연산을 직접 수행함으로써 데이터 변환 속도를 약 100배 향상시켰다.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Python:</w:t>
      </w:r>
    </w:p>
    <w:p>
      <w:pPr>
        <w:spacing w:line="240" w:lineRule="auto" w:before="0" w:after="20"/>
        <w:ind w:left="624"/>
        <w:jc w:val="left"/>
      </w:pPr>
      <w:r>
        <w:rPr>
          <w:rFonts w:ascii="Times New Roman" w:hAnsi="Times New Roman" w:eastAsia="바탕체"/>
          <w:b w:val="0"/>
          <w:i/>
          <w:sz w:val="20"/>
        </w:rPr>
        <w:t>c = s[2*i+1] -&gt; to_int(c) -&gt; 12 -&gt; 3</w:t>
      </w:r>
    </w:p>
    <w:p>
      <w:pPr>
        <w:spacing w:line="240" w:lineRule="auto" w:before="0" w:after="0"/>
        <w:ind w:left="340"/>
        <w:jc w:val="left"/>
      </w:pPr>
      <w:r>
        <w:rPr>
          <w:rFonts w:ascii="Times New Roman" w:hAnsi="Times New Roman" w:eastAsia="바탕체"/>
          <w:b w:val="0"/>
          <w:i/>
          <w:sz w:val="20"/>
        </w:rPr>
        <w:t>Cython:</w:t>
      </w:r>
    </w:p>
    <w:p>
      <w:pPr>
        <w:spacing w:line="240" w:lineRule="auto" w:before="0" w:after="20"/>
        <w:ind w:left="624"/>
        <w:jc w:val="left"/>
      </w:pPr>
      <w:r>
        <w:rPr>
          <w:rFonts w:ascii="Times New Roman" w:hAnsi="Times New Roman" w:eastAsia="바탕체"/>
          <w:b w:val="0"/>
          <w:i/>
          <w:sz w:val="20"/>
        </w:rPr>
        <w:t>c = s[2*i+1] -&gt; c - 'A' + 10 -&gt; 12 -&gt; 3</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ind w:left="340"/>
        <w:jc w:val="left"/>
      </w:pPr>
      <w:r>
        <w:rPr>
          <w:rFonts w:ascii="Times New Roman" w:hAnsi="Times New Roman" w:eastAsia="바탕체"/>
          <w:b w:val="0"/>
          <w:i/>
          <w:sz w:val="20"/>
        </w:rPr>
        <w:t>Formula:</w:t>
      </w:r>
    </w:p>
    <w:p>
      <w:pPr>
        <w:spacing w:line="240" w:lineRule="auto" w:before="0" w:after="20"/>
        <w:ind w:left="624"/>
        <w:jc w:val="left"/>
      </w:pPr>
      <w:r>
        <w:rPr>
          <w:rFonts w:ascii="Times New Roman" w:hAnsi="Times New Roman" w:eastAsia="바탕체"/>
          <w:b w:val="0"/>
          <w:i/>
          <w:sz w:val="20"/>
        </w:rPr>
        <w:t>grade = max(value - 9, 0)</w:t>
      </w:r>
    </w:p>
    <w:p>
      <w:pPr>
        <w:spacing w:line="240" w:lineRule="auto" w:before="0" w:after="0"/>
        <w:jc w:val="left"/>
      </w:pPr>
      <w:r>
        <w:rPr>
          <w:rFonts w:ascii="Times New Roman" w:hAnsi="Times New Roman" w:eastAsia="바탕체"/>
          <w:b/>
          <w:i w:val="0"/>
          <w:sz w:val="18"/>
        </w:rPr>
        <w:t>Fig. 1. Hex-to-grade conversion example. 앞자리가 항상 0이므로 뒷자리 문자만 처리하며, Python 구현은 문자 추출 후 변환 함수를 호출하는 반면 Cython 구현은 같은 문자를 직접 비교하고 산술 연산으로 변환한다. 이 차이는 1 wafer당 평균 약 1,000만 회 반복되면서 전체 처리 시간 차이로 누적된다.</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 example. Repeated RGB values are defined once in the palette, and each pixel stores only the palette index.</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ROI 기반 YOLO는 전역 형상만으로 혼동되는 저신뢰 샘플의 오분류를 교정하였다(Fig.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7397"/>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7397"/>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예시. 좌측 두 패널은 혼동되는 Class A/B 예시이며, 우측은 CNN이 B로 오분류한 샘플을 ROI-YOLO가 A로 교정한 사례를 보여준다.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예시. 운영 이미지에서 검출된 13개 후보 그룹 중 현업 분석 엔지니어 검증 결과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운영을 위한 데이터 파이프라인과 Known·Unknown 불량 분석 AI를 통합 구현하였다. 데이터 계층에서는 1시간 주기 생성과 저장 효율을 확보하였고, Known 경로는 F1 0.95를, Unknown 경로는 13개 불량 후보 그룹 검출과 7개 실제 불량 그룹 판정을 확인하였다. 이를 통해 Failbit Map 기반 불량 분석의 현업 적용 가능성을 보였다.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