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rPr>
          <w:rFonts w:ascii="Times New Roman" w:hAnsi="Times New Roman" w:eastAsia="바탕체"/>
          <w:b w:val="0"/>
          <w:sz w:val="18"/>
        </w:rPr>
        <w:t>Draft document: example performance values should be replaced with actual server logs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t>Fab-out 이후 EDS test에서 생성되는 Failbit Map은 wafer 전반에 걸친 천만 픽셀 이상의 불량 정보를 매우 세밀하게 표현할 수 있지만, 기존 분석 환경에서는 이를 대량으로 구조화해 해석하기 어렵다. 본 연구는 등록 불량 분류에는 CNN-YOLO 기반 supervised 방식을, 신규 불량 검출에는 contrastive self-supervised 방식을 적용하였다. 등록 불량 경로에서는 16개 클래스를 대상으로 ConvNeXtV2 기반 global classifier를 구축하고, 1차 분류 confidence가 낮은 샘플만 Grad-CAM으로 ROI를 잡아 YOLO object detection으로 chip-level 이미지를 다시 확인하도록 설계하였다. 신규 불량 검출에는 local-global contrastive embedding과 HDBSCAN을 적용하여 새로운 불량 후보를 선별하고, 대표 샘플과 요약 정보를 통해 전문가 검토와 신규 라벨 확장을 지원하였다. 데이터 계층에서는 2개 Bucket(Storage)에 저장된 Failbit Map 로그와 Measure 로그를 결합하여 chip annotation file을 생성하였고, 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실험 결과, Optuna 기반 최적화로 validation weighted F1를 0.78에서 0.92까지 향상시켰고, 이후 선택적으로 ROI를 다시 확인하는 방식으로 최종 0.95를 달성하였다. 또한 FTN과 QTN을 포함한 주요 Measure 값을 함께 정리하여, 사용자가 UI에서 chip별 DRAM 동작 불량의 유형과 강도를 상세히 확인할 수 있는 분석 기반을 마련하였다.</w:t>
      </w:r>
    </w:p>
    <w:p>
      <w:pPr>
        <w:spacing w:line="240" w:lineRule="auto" w:before="120" w:after="0"/>
        <w:jc w:val="left"/>
      </w:pPr>
      <w:r>
        <w:t>Keywords: Failbit Map, Wafer Defect Analysis, ConvNeXtV2, Grad-CAM, YOLO, Contrastive Learning, HDBSCAN, Measure Data</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신규 불량을 빠르게 식별할 수 있어야 한다. 셋째, 단순 분류 결과를 넘어서 wafer map, chip 좌표, 계측값, 시각화, 수동 검토를 함께 수행할 수 있는 분석 UI가 필요하다. 이에 본 연구는 데이터 생성부터 등록 불량 분류, 신규 불량 검출, UI 기반 검토와 라벨 확장까지 연결되는 통합 구조를 제안한다.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t>입력 데이터는 2개 Bucket(Storage)에 저장된 failbit map 로그와 Measure 로그의 정합 결과이다. Bucket A에는 primary failbit map raw 파일(`.Z`)이, Bucket B에는 chip-level Measure 로그(`.gz`)가 저장되며, 두 bucket은 wafer 식별 규칙과 시간 오프셋을 이용해 자동 매칭된다. 이후 병렬 다운로드와 압축 해제를 수행한 뒤, Bucket A 로그로부터 chip별 failbit map을 복원하고 Bucket B의 주요 Measure 값을 함께 적재하여 chip annotation file을 생성하였다. 특히 FTN과 QTN은 chip 단위에서 어떤 DRAM 동작 항목의 불량이 크고 작은지를 판단하는 핵심 지표이므로, 본 연구에서는 이를 모델 입력으로 직접 사용하지 않고 UI에서 사용자가 불량 이미지를 보면서 chip별 상세 불량 특성을 해석하는 정보로 제공하였다. 즉, failbit map이 wafer 수준에서 불량 분포를 빠르게 파악하는 데 유리하다면, FTN과 QTN은 bitline과 같은 세부 동작 관점에서 어떤 종류의 불량이 해당 맵에 많이 나타나는지를 확인하는 데 유용하다.</w:t>
      </w:r>
    </w:p>
    <w:p>
      <w:pPr>
        <w:spacing w:line="240" w:lineRule="auto" w:before="0" w:after="0"/>
        <w:jc w:val="left"/>
      </w:pPr>
      <w:r>
        <w:t>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예를 들어 특정 defect grade가 빨간색으로 표시되더라도, 일반 RGB PNG에서는 각 픽셀이 `(255, 0, 0)`과 같은 3채널 값으로 반복 저장되지만, palette-indexed PNG에서는 해당 grade에 대응하는 palette 번호 하나만 기록하면 된다. 또한 palette PNG는 `PLTE`를 통해 색상 정의를 분리 관리할 수 있어 동일한 map 구조를 유지한 채 사용자별 색상 scheme을 즉시 적용할 수 있다. 이 구조는 UI에서 failbit map과 chip annotation을 함께 시각적으로 확인하는 데 유리하다.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기존 불량 클래스를 구분하는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 2.2-1 CNN 기반 global classifier</w:t>
      </w:r>
    </w:p>
    <w:p>
      <w:pPr>
        <w:spacing w:line="240" w:lineRule="auto" w:before="0" w:after="0"/>
        <w:jc w:val="left"/>
      </w:pPr>
      <w:r>
        <w:rPr>
          <w:rFonts w:ascii="Times New Roman" w:hAnsi="Times New Roman" w:eastAsia="바탕체"/>
          <w:b w:val="0"/>
          <w:sz w:val="20"/>
        </w:rP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Hugging Face `timm` 생태계의 사전학습 가중치를 활용하여 `convnextv2_base.fcmae_ft_in22k_in1k_384`를 wafer map 데이터로 fine-tuning하였다. 총 약 1500개 수준의 데이터와 클래스별 샘플 편차 조건에서는 대규모 데이터에서 강점을 보이는 ViT 계열보다, FCMAE 기반 사전학습과 convolutional inductive bias를 동시에 갖는 ConvNeXtV2가 더 데이터 효율적으로 동작하였다. 또한 384 입력 해상도에서 local, scratch, edge 계열의 미세 구조를 상대적으로 안정적으로 유지하였다. Optuna 기반 하이퍼파라미터 탐색을 통해 validation weighted F1를 0.78에서 0.92까지 향상시켰다. 이 단계의 역할은 wafer 전체 배치, 중심/에지 분포, 다중 영역 간 상대 위치와 같은 global spatial context를 우선적으로 해석하는 것이다.</w:t>
      </w:r>
    </w:p>
    <w:p>
      <w:pPr>
        <w:spacing w:line="240" w:lineRule="auto" w:before="0" w:after="0"/>
        <w:jc w:val="left"/>
      </w:pPr>
      <w:r>
        <w:rPr>
          <w:rFonts w:ascii="Times New Roman" w:hAnsi="Times New Roman" w:eastAsia="바탕체"/>
          <w:b w:val="0"/>
          <w:sz w:val="20"/>
        </w:rPr>
        <w:t>#### 2.2-2 YOLO 기반 ROI 재확인</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보강 절차를 설계하였다. 1차 분류 결과에서 confidence가 낮은 샘플만 선별하고, 해당 샘플에 대해서만 Grad-CAM으로 ROI를 추출한 뒤 YOLO object detection으로 chip-level 이미지를 다시 확인한다.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즉, 이 단계의 목적은 새로운 물체를 찾는 detection 자체가 아니라, global classifier가 헷갈린 샘플에 대해 class decision boundary를 다시 세우는 데 있다.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신규 불량 검출 경로</w:t>
      </w:r>
    </w:p>
    <w:p>
      <w:pPr>
        <w:spacing w:line="240" w:lineRule="auto" w:before="0" w:after="0"/>
        <w:jc w:val="left"/>
      </w:pPr>
      <w:r>
        <w:rPr>
          <w:rFonts w:ascii="Times New Roman" w:hAnsi="Times New Roman" w:eastAsia="바탕체"/>
          <w:b w:val="0"/>
          <w:sz w:val="20"/>
        </w:rPr>
        <w:t>신규 불량 검출을 위해서는 ConvNeXtV2 backbone 기반 자기지도 대조 학습과 HDBSCAN을 활용하였다. 초기에는 특정 known group을 강하게 묶는 label-aware contrastive objective도 시험하였으나, 일부 그룹의 응집도는 높아져도 형태 다양성이 큰 신규 불량 전반의 임베딩 분리도는 오히려 저하되었다.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첫째, contrastive learning은 class label 예측이 아니라 representation space 정렬을 목표로 하므로, 신규 불량 후보를 포함한 넓은 unlabeled set을 활용하는 것이 임베딩 coverage 확보에 유리했다. 둘째, 문헌에서 흔히 권장되는 random point local sampling 대신, wafer map에서 공정 의미가 큰 center 및 edge 영역을 보존하는 structured local anchor를 사용하였다. 셋째, 좌우·상하 반전은 적용하지 않았다. 외형이 유사하더라도 발생 위치와 방향이 달라지면 공정 원인이 달라질 수 있기 때문이다. Global InfoNCE, Local InfoNCE, HDBSCAN quality filter(size, median probability, persistence)를 조합하여 후보 그룹의 안정성을 확보하고, medoid representative를 저장하여 전문가 검토 부담을 줄였다. 이렇게 추린 신규 불량 후보는 UI에서 확인하고 신규 라벨로 등록하여 supervised path에 편입될 수 있다.</w:t>
      </w:r>
    </w:p>
    <w:p>
      <w:pPr>
        <w:spacing w:line="240" w:lineRule="auto" w:before="200" w:after="200"/>
        <w:jc w:val="left"/>
      </w:pPr>
      <w:r>
        <w:t>2.4 분석 UI와 상세 불량 확인</w:t>
      </w:r>
    </w:p>
    <w:p>
      <w:pPr>
        <w:spacing w:line="240" w:lineRule="auto" w:before="0" w:after="0"/>
        <w:jc w:val="left"/>
      </w:pPr>
      <w:r>
        <w:t>`mapviewer`는 단순한 결과 viewer가 아니라, wafer map과 chip별 Measure 값을 함께 해석하는 분석 인터페이스이다. 개인 색상 scheme, chip annotation, composite map, BIN/FBT/QVL overlay를 제공하며, 사용자는 failbit map에서 wafer 수준의 불량 분포를 확인한 뒤 관심 chip의 FTN과 QTN을 함께 조회하여 어떤 DRAM 동작 항목의 불량이 크고, 특정 맵에서 어떤 종류의 불량이 많이 나타나는지를 상세히 해석할 수 있다. 본 연구에서는 이러한 Measure 값을 모델 입력으로 직접 사용하지 않고, 등록 불량 오분류 재검토, 신규 불량 대표 샘플 확인, 신규 라벨 등록을 지원하는 사용자 중심 분석 정보로 제공하였다.</w:t>
      </w:r>
    </w:p>
    <w:p>
      <w:pPr>
        <w:jc w:val="center"/>
      </w:pPr>
      <w:r>
        <w:drawing>
          <wp:inline xmlns:a="http://schemas.openxmlformats.org/drawingml/2006/main" xmlns:pic="http://schemas.openxmlformats.org/drawingml/2006/picture">
            <wp:extent cx="2834640" cy="3897630"/>
            <wp:docPr id="1" name="Picture 1"/>
            <wp:cNvGraphicFramePr>
              <a:graphicFrameLocks noChangeAspect="1"/>
            </wp:cNvGraphicFramePr>
            <a:graphic>
              <a:graphicData uri="http://schemas.openxmlformats.org/drawingml/2006/picture">
                <pic:pic>
                  <pic:nvPicPr>
                    <pic:cNvPr id="0" name="system_architecture_concept.png"/>
                    <pic:cNvPicPr/>
                  </pic:nvPicPr>
                  <pic:blipFill>
                    <a:blip r:embed="rId9"/>
                    <a:stretch>
                      <a:fillRect/>
                    </a:stretch>
                  </pic:blipFill>
                  <pic:spPr>
                    <a:xfrm>
                      <a:off x="0" y="0"/>
                      <a:ext cx="2834640" cy="3897630"/>
                    </a:xfrm>
                    <a:prstGeom prst="rect"/>
                  </pic:spPr>
                </pic:pic>
              </a:graphicData>
            </a:graphic>
          </wp:inline>
        </w:drawing>
      </w:r>
    </w:p>
    <w:p>
      <w:pPr>
        <w:jc w:val="center"/>
      </w:pPr>
      <w:r>
        <w:t>Figure 1. Conceptual architecture of the proposed wafer defect analysis pipeline. Bucket A/B logs are aligned to generate chip annotation files and palette-indexed fail maps, which are then analyzed through CNN-YOLO-based supervised classification and contrastive self-supervised new defect detection, with outputs integrated into the mapviewer UI for expert review and detailed chip-level inspection with Measure values.</w:t>
      </w:r>
    </w:p>
    <w:p>
      <w:pPr>
        <w:spacing w:line="240" w:lineRule="auto" w:before="200" w:after="200"/>
        <w:jc w:val="left"/>
      </w:pPr>
      <w:r>
        <w:rPr>
          <w:rFonts w:ascii="Times New Roman" w:hAnsi="Times New Roman" w:eastAsia="바탕체"/>
          <w:b/>
          <w:sz w:val="22"/>
        </w:rPr>
        <w:t>3. 실험 결과 및 논의</w:t>
      </w:r>
    </w:p>
    <w:p>
      <w:pPr>
        <w:spacing w:line="240" w:lineRule="auto" w:before="0" w:after="0"/>
        <w:jc w:val="left"/>
      </w:pPr>
      <w:r>
        <w:rPr>
          <w:rFonts w:ascii="Times New Roman" w:hAnsi="Times New Roman" w:eastAsia="바탕체"/>
          <w:b w:val="0"/>
          <w:sz w:val="20"/>
        </w:rPr>
        <w:t>등록 불량 경로에서는 backbone 비교 결과 ConvNeXtV2가 가장 우수한 validation weighted F1를 보였으며, Optuna 기반 최적화 이후 1-stage 기준 0.92를 달성하였다. 이후 ROI 재확인과 YOLO 보정을 통해 0.95까지 향상되었다. 특히 edge, local, center 부근 패턴처럼 macro 관점에서 유사하게 보이는 경우의 혼동 감소가 주요 성능 향상 요인이었다.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rPr>
          <w:rFonts w:ascii="Times New Roman" w:hAnsi="Times New Roman" w:eastAsia="바탕체"/>
          <w:b w:val="0"/>
          <w:sz w:val="20"/>
        </w:rPr>
        <w:t>신규 불량 경로의 목적은 기존 불량 분류 정확도를 높이는 것이 아니라, 신규 불량 후보를 안정적으로 추려 전문가 검토가 가능한 형태로 제시하는 데 있다. 따라서 평가는 purity, NMI, ARI, kept coverage, noise ratio와 같은 신규 불량 검출 품질 지표로 해석하는 것이 적절하다. 본 시스템은 신규 불량을 곧바로 정답 클래스로 예측하는 대신, 검토 가능한 후보 묶음과 대표 샘플을 생성하여 라벨 확장 루프를 지원한다는 점에서 실용적 의미를 가진다.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
              <w:rPr>
                <w:rFonts w:ascii="Times New Roman" w:hAnsi="Times New Roman" w:eastAsia="바탕체"/>
                <w:b/>
                <w:sz w:val="18"/>
              </w:rPr>
              <w:t>Backbone</w:t>
            </w:r>
          </w:p>
        </w:tc>
        <w:tc>
          <w:tcPr>
            <w:tcW w:type="dxa" w:w="2381"/>
            <w:vAlign w:val="center"/>
          </w:tcPr>
          <w:p>
            <w:pPr>
              <w:spacing w:line="240" w:lineRule="auto" w:before="0" w:after="0"/>
              <w:jc w:val="left"/>
            </w:pPr>
            <w:r/>
            <w:r>
              <w:rPr>
                <w:rFonts w:ascii="Times New Roman" w:hAnsi="Times New Roman" w:eastAsia="바탕체"/>
                <w:b/>
                <w:sz w:val="18"/>
              </w:rPr>
              <w:t>Input</w:t>
            </w:r>
          </w:p>
        </w:tc>
        <w:tc>
          <w:tcPr>
            <w:tcW w:type="dxa" w:w="1701"/>
            <w:vAlign w:val="center"/>
          </w:tcPr>
          <w:p>
            <w:pPr>
              <w:spacing w:line="240" w:lineRule="auto" w:before="0" w:after="0"/>
              <w:jc w:val="left"/>
            </w:pPr>
            <w:r/>
            <w:r>
              <w:rPr>
                <w:rFonts w:ascii="Times New Roman" w:hAnsi="Times New Roman" w:eastAsia="바탕체"/>
                <w:b/>
                <w:sz w:val="18"/>
              </w:rPr>
              <w:t>Method</w:t>
            </w:r>
          </w:p>
        </w:tc>
        <w:tc>
          <w:tcPr>
            <w:tcW w:type="dxa" w:w="1247"/>
            <w:vAlign w:val="center"/>
          </w:tcPr>
          <w:p>
            <w:pPr>
              <w:spacing w:line="240" w:lineRule="auto" w:before="0" w:after="0"/>
              <w:jc w:val="left"/>
            </w:pPr>
            <w:r/>
            <w:r>
              <w:rPr>
                <w:rFonts w:ascii="Times New Roman" w:hAnsi="Times New Roman" w:eastAsia="바탕체"/>
                <w:b/>
                <w:sz w:val="18"/>
              </w:rPr>
              <w:t>Weighted F1</w:t>
            </w:r>
          </w:p>
        </w:tc>
      </w:tr>
      <w:tr>
        <w:tc>
          <w:tcPr>
            <w:tcW w:type="dxa" w:w="1587"/>
            <w:vAlign w:val="center"/>
          </w:tcPr>
          <w:p>
            <w:pPr>
              <w:spacing w:line="240" w:lineRule="auto" w:before="0" w:after="0"/>
              <w:jc w:val="left"/>
            </w:pPr>
            <w:r/>
            <w:r>
              <w:rPr>
                <w:rFonts w:ascii="Times New Roman" w:hAnsi="Times New Roman" w:eastAsia="바탕체"/>
                <w:b w:val="0"/>
                <w:sz w:val="18"/>
              </w:rPr>
              <w:t>EfficientNetV2-M</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0.88</w:t>
            </w:r>
          </w:p>
        </w:tc>
      </w:tr>
      <w:tr>
        <w:tc>
          <w:tcPr>
            <w:tcW w:type="dxa" w:w="1587"/>
            <w:vAlign w:val="center"/>
          </w:tcPr>
          <w:p>
            <w:pPr>
              <w:spacing w:line="240" w:lineRule="auto" w:before="0" w:after="0"/>
              <w:jc w:val="left"/>
            </w:pPr>
            <w:r/>
            <w:r>
              <w:rPr>
                <w:rFonts w:ascii="Times New Roman" w:hAnsi="Times New Roman" w:eastAsia="바탕체"/>
                <w:b w:val="0"/>
                <w:sz w:val="18"/>
              </w:rPr>
              <w:t>MaxViT-Base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0.89</w:t>
            </w:r>
          </w:p>
        </w:tc>
      </w:tr>
      <w:tr>
        <w:tc>
          <w:tcPr>
            <w:tcW w:type="dxa" w:w="1587"/>
            <w:vAlign w:val="center"/>
          </w:tcPr>
          <w:p>
            <w:pPr>
              <w:spacing w:line="240" w:lineRule="auto" w:before="0" w:after="0"/>
              <w:jc w:val="left"/>
            </w:pPr>
            <w:r/>
            <w:r>
              <w:rPr>
                <w:rFonts w:ascii="Times New Roman" w:hAnsi="Times New Roman" w:eastAsia="바탕체"/>
                <w:b w:val="0"/>
                <w:sz w:val="18"/>
              </w:rPr>
              <w:t>ViT-Base/16</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0.87</w:t>
            </w:r>
          </w:p>
        </w:tc>
      </w:tr>
      <w:tr>
        <w:tc>
          <w:tcPr>
            <w:tcW w:type="dxa" w:w="1587"/>
            <w:vAlign w:val="center"/>
          </w:tcPr>
          <w:p>
            <w:pPr>
              <w:spacing w:line="240" w:lineRule="auto" w:before="0" w:after="0"/>
              <w:jc w:val="left"/>
            </w:pPr>
            <w:r/>
            <w:r>
              <w:rPr>
                <w:rFonts w:ascii="Times New Roman" w:hAnsi="Times New Roman" w:eastAsia="바탕체"/>
                <w:b w:val="0"/>
                <w:sz w:val="18"/>
              </w:rPr>
              <w:t>Swin-Base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0.90</w:t>
            </w:r>
          </w:p>
        </w:tc>
      </w:tr>
      <w:tr>
        <w:tc>
          <w:tcPr>
            <w:tcW w:type="dxa" w:w="1587"/>
            <w:vAlign w:val="center"/>
          </w:tcPr>
          <w:p>
            <w:pPr>
              <w:spacing w:line="240" w:lineRule="auto" w:before="0" w:after="0"/>
              <w:jc w:val="left"/>
            </w:pPr>
            <w:r/>
            <w:r>
              <w:rPr>
                <w:rFonts w:ascii="Times New Roman" w:hAnsi="Times New Roman" w:eastAsia="바탕체"/>
                <w:b w:val="0"/>
                <w:sz w:val="18"/>
              </w:rPr>
              <w:t>ConvNeXtV2-Base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
              <w:rPr>
                <w:rFonts w:ascii="Times New Roman" w:hAnsi="Times New Roman" w:eastAsia="바탕체"/>
                <w:b/>
                <w:sz w:val="18"/>
              </w:rPr>
              <w:t>Stage</w:t>
            </w:r>
          </w:p>
        </w:tc>
        <w:tc>
          <w:tcPr>
            <w:tcW w:type="dxa" w:w="3307"/>
            <w:vAlign w:val="center"/>
          </w:tcPr>
          <w:p>
            <w:pPr>
              <w:spacing w:line="240" w:lineRule="auto" w:before="0" w:after="0"/>
              <w:jc w:val="left"/>
            </w:pPr>
            <w:r/>
            <w:r>
              <w:rPr>
                <w:rFonts w:ascii="Times New Roman" w:hAnsi="Times New Roman" w:eastAsia="바탕체"/>
                <w:b/>
                <w:sz w:val="18"/>
              </w:rPr>
              <w:t>Configuration</w:t>
            </w:r>
          </w:p>
        </w:tc>
        <w:tc>
          <w:tcPr>
            <w:tcW w:type="dxa" w:w="3307"/>
            <w:vAlign w:val="center"/>
          </w:tcPr>
          <w:p>
            <w:pPr>
              <w:spacing w:line="240" w:lineRule="auto" w:before="0" w:after="0"/>
              <w:jc w:val="left"/>
            </w:pPr>
            <w:r/>
            <w:r>
              <w:rPr>
                <w:rFonts w:ascii="Times New Roman" w:hAnsi="Times New Roman" w:eastAsia="바탕체"/>
                <w:b/>
                <w:sz w:val="18"/>
              </w:rPr>
              <w:t>Weighted F1</w:t>
            </w:r>
          </w:p>
        </w:tc>
      </w:tr>
      <w:tr>
        <w:tc>
          <w:tcPr>
            <w:tcW w:type="dxa" w:w="3307"/>
            <w:vAlign w:val="center"/>
          </w:tcPr>
          <w:p>
            <w:pPr>
              <w:spacing w:line="240" w:lineRule="auto" w:before="0" w:after="0"/>
              <w:jc w:val="left"/>
            </w:pPr>
            <w:r/>
            <w:r>
              <w:rPr>
                <w:rFonts w:ascii="Times New Roman" w:hAnsi="Times New Roman" w:eastAsia="바탕체"/>
                <w:b w:val="0"/>
                <w:sz w:val="18"/>
              </w:rPr>
              <w:t>Baseline</w:t>
            </w:r>
          </w:p>
        </w:tc>
        <w:tc>
          <w:tcPr>
            <w:tcW w:type="dxa" w:w="3307"/>
            <w:vAlign w:val="center"/>
          </w:tcPr>
          <w:p>
            <w:pPr>
              <w:spacing w:line="240" w:lineRule="auto" w:before="0" w:after="0"/>
              <w:jc w:val="left"/>
            </w:pPr>
            <w:r/>
            <w:r>
              <w:rPr>
                <w:rFonts w:ascii="Times New Roman" w:hAnsi="Times New Roman" w:eastAsia="바탕체"/>
                <w:b w:val="0"/>
                <w:sz w:val="18"/>
              </w:rPr>
              <w:t>Initial CNN</w:t>
            </w:r>
          </w:p>
        </w:tc>
        <w:tc>
          <w:tcPr>
            <w:tcW w:type="dxa" w:w="3307"/>
            <w:vAlign w:val="center"/>
          </w:tcPr>
          <w:p>
            <w:pPr>
              <w:spacing w:line="240" w:lineRule="auto" w:before="0" w:after="0"/>
              <w:jc w:val="left"/>
            </w:pPr>
            <w:r/>
            <w:r>
              <w:rPr>
                <w:rFonts w:ascii="Times New Roman" w:hAnsi="Times New Roman" w:eastAsia="바탕체"/>
                <w:b w:val="0"/>
                <w:sz w:val="18"/>
              </w:rPr>
              <w:t>0.78</w:t>
            </w:r>
          </w:p>
        </w:tc>
      </w:tr>
      <w:tr>
        <w:tc>
          <w:tcPr>
            <w:tcW w:type="dxa" w:w="3307"/>
            <w:vAlign w:val="center"/>
          </w:tcPr>
          <w:p>
            <w:pPr>
              <w:spacing w:line="240" w:lineRule="auto" w:before="0" w:after="0"/>
              <w:jc w:val="left"/>
            </w:pPr>
            <w:r/>
            <w:r>
              <w:rPr>
                <w:rFonts w:ascii="Times New Roman" w:hAnsi="Times New Roman" w:eastAsia="바탕체"/>
                <w:b w:val="0"/>
                <w:sz w:val="18"/>
              </w:rPr>
              <w:t>Stage 1</w:t>
            </w:r>
          </w:p>
        </w:tc>
        <w:tc>
          <w:tcPr>
            <w:tcW w:type="dxa" w:w="3307"/>
            <w:vAlign w:val="center"/>
          </w:tcPr>
          <w:p>
            <w:pPr>
              <w:spacing w:line="240" w:lineRule="auto" w:before="0" w:after="0"/>
              <w:jc w:val="left"/>
            </w:pPr>
            <w:r/>
            <w:r>
              <w:rPr>
                <w:rFonts w:ascii="Times New Roman" w:hAnsi="Times New Roman" w:eastAsia="바탕체"/>
                <w:b w:val="0"/>
                <w:sz w:val="18"/>
              </w:rPr>
              <w:t>ConvNeXtV2 + Optuna</w:t>
            </w:r>
          </w:p>
        </w:tc>
        <w:tc>
          <w:tcPr>
            <w:tcW w:type="dxa" w:w="3307"/>
            <w:vAlign w:val="center"/>
          </w:tcPr>
          <w:p>
            <w:pPr>
              <w:spacing w:line="240" w:lineRule="auto" w:before="0" w:after="0"/>
              <w:jc w:val="left"/>
            </w:pPr>
            <w:r/>
            <w:r>
              <w:rPr>
                <w:rFonts w:ascii="Times New Roman" w:hAnsi="Times New Roman" w:eastAsia="바탕체"/>
                <w:b w:val="0"/>
                <w:sz w:val="18"/>
              </w:rPr>
              <w:t>0.92</w:t>
            </w:r>
          </w:p>
        </w:tc>
      </w:tr>
      <w:tr>
        <w:tc>
          <w:tcPr>
            <w:tcW w:type="dxa" w:w="3307"/>
            <w:vAlign w:val="center"/>
          </w:tcPr>
          <w:p>
            <w:pPr>
              <w:spacing w:line="240" w:lineRule="auto" w:before="0" w:after="0"/>
              <w:jc w:val="left"/>
            </w:pPr>
            <w:r/>
            <w:r>
              <w:rPr>
                <w:rFonts w:ascii="Times New Roman" w:hAnsi="Times New Roman" w:eastAsia="바탕체"/>
                <w:b w:val="0"/>
                <w:sz w:val="18"/>
              </w:rPr>
              <w:t>Stage 2</w:t>
            </w:r>
          </w:p>
        </w:tc>
        <w:tc>
          <w:tcPr>
            <w:tcW w:type="dxa" w:w="3307"/>
            <w:vAlign w:val="center"/>
          </w:tcPr>
          <w:p>
            <w:pPr>
              <w:spacing w:line="240" w:lineRule="auto" w:before="0" w:after="0"/>
              <w:jc w:val="left"/>
            </w:pPr>
            <w:r/>
            <w:r>
              <w:rPr>
                <w:rFonts w:ascii="Times New Roman" w:hAnsi="Times New Roman" w:eastAsia="바탕체"/>
                <w:b w:val="0"/>
                <w:sz w:val="18"/>
              </w:rPr>
              <w:t>+ ROI 재확인 + YOLO</w:t>
            </w:r>
          </w:p>
        </w:tc>
        <w:tc>
          <w:tcPr>
            <w:tcW w:type="dxa" w:w="3307"/>
            <w:vAlign w:val="center"/>
          </w:tcPr>
          <w:p>
            <w:pPr>
              <w:spacing w:line="240" w:lineRule="auto" w:before="0" w:after="0"/>
              <w:jc w:val="left"/>
            </w:pPr>
            <w:r/>
            <w:r>
              <w:rPr>
                <w:rFonts w:ascii="Times New Roman" w:hAnsi="Times New Roman" w:eastAsia="바탕체"/>
                <w:b w:val="0"/>
                <w:sz w:val="18"/>
              </w:rPr>
              <w:t>0.95</w:t>
            </w:r>
          </w:p>
        </w:tc>
      </w:tr>
    </w:tbl>
    <w:p>
      <w:pPr>
        <w:spacing w:line="240" w:lineRule="auto" w:before="0" w:after="200"/>
        <w:jc w:val="left"/>
      </w:pPr>
      <w:r>
        <w:rPr>
          <w:rFonts w:ascii="Times New Roman" w:hAnsi="Times New Roman" w:eastAsia="바탕체"/>
          <w:b w:val="0"/>
          <w:sz w:val="20"/>
        </w:rPr>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t>본 연구는 반도체 웨이퍼 불량 분석을 위해 데이터 생성, 등록 불량 분류, 신규 불량 검출, 분석 UI를 하나의 파이프라인으로 통합하였다. 2개 Bucket(Storage)에 저장된 Failbit Map 로그와 Measure 로그를 결합하여 chip annotation file을 생성하고, 32-color palette-indexed PNG를 적용함으로써 저장 용량을 약 70% 절감하였다. 등록 불량 경로에서는 ConvNeXtV2와 Optuna 기반 최적화로 1-stage 성능을 향상시켰고, Grad-CAM ROI와 YOLO 이차 검증을 통해 최종 0.95를 달성하였다. 신규 불량 경로에서는 contrastive self-supervised 방식과 HDBSCAN을 적용하여 신규 불량 후보를 선별하고, 전문가 검토 기반 신규 라벨 확장 구조를 마련하였다. 또한 FTN과 QTN을 포함한 주요 Measure 값을 chip annotation file에 함께 저장함으로써, 사용자가 UI에서 chip별 DRAM 동작 불량 특성을 상세히 확인할 수 있는 분석 기반을 확보하였다.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rPr>
          <w:rFonts w:ascii="Times New Roman" w:hAnsi="Times New Roman" w:eastAsia="바탕체"/>
          <w:b w:val="0"/>
          <w:sz w:val="18"/>
        </w:rPr>
        <w:t>[3] Y. Kim, D. Cho, and J.-H. Lee, "Wafer Defect Pattern Classification With Detecting Out-of-Distribution," *IEEE Transactions on Semiconductor Manufacturing*, vol. 34, no. 4, pp. 498-505, 2021.</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