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240" w:lineRule="auto"/>
        <w:jc w:val="center"/>
      </w:pPr>
      <w:r>
        <w:rPr>
          <w:rFonts w:ascii="바탕체" w:hAnsi="바탕체" w:eastAsia="바탕체" w:cs="바탕체"/>
          <w:b/>
          <w:sz w:val="44"/>
          <w:u w:val="single"/>
        </w:rPr>
        <w:t>AX Award 지원서</w:t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1269"/>
        <w:gridCol w:w="1992"/>
        <w:gridCol w:w="1269"/>
        <w:gridCol w:w="3262"/>
      </w:tblGrid>
      <w:tr>
        <w:trPr>
          <w:trHeight w:hRule="atLeast" w:val="130"/>
        </w:trPr>
        <w:tc>
          <w:tcPr>
            <w:tcW w:type="dxa" w:w="9066"/>
            <w:gridSpan w:val="5"/>
            <w:vAlign w:val="center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4"/>
                <w:u w:val="none"/>
              </w:rPr>
              <w:t>I. 개요</w:t>
            </w:r>
          </w:p>
        </w:tc>
      </w:tr>
      <w:tr>
        <w:trPr>
          <w:trHeight w:hRule="atLeast" w:val="130"/>
        </w:trPr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지원부문</w:t>
            </w:r>
          </w:p>
        </w:tc>
        <w:tc>
          <w:tcPr>
            <w:tcW w:type="dxa" w:w="7796"/>
            <w:gridSpan w:val="4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【확인필요 — 사내 공고상 지원부문 기입】</w:t>
            </w:r>
          </w:p>
        </w:tc>
      </w:tr>
      <w:tr>
        <w:trPr>
          <w:trHeight w:hRule="atLeast" w:val="380"/>
        </w:trPr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팀/그룹</w:t>
            </w:r>
          </w:p>
        </w:tc>
        <w:tc>
          <w:tcPr>
            <w:tcW w:type="dxa" w:w="3263"/>
            <w:gridSpan w:val="2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【확인필요】</w:t>
            </w:r>
          </w:p>
        </w:tc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대표자</w:t>
            </w:r>
          </w:p>
        </w:tc>
        <w:tc>
          <w:tcPr>
            <w:tcW w:type="dxa" w:w="3263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【확인필요】</w:t>
            </w:r>
          </w:p>
        </w:tc>
      </w:tr>
      <w:tr>
        <w:trPr>
          <w:trHeight w:hRule="atLeast" w:val="329"/>
        </w:trPr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제목</w:t>
            </w:r>
          </w:p>
        </w:tc>
        <w:tc>
          <w:tcPr>
            <w:tcW w:type="dxa" w:w="7796"/>
            <w:gridSpan w:val="4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품질 이상감지·판단 AI Agent(Q-Agent) — 계측 Trend·Wafer Map·Defect Image 이상의 감지부터 판정·조치·재학습까지 품질 판정 E2E Process 전 구간 대체</w:t>
            </w:r>
          </w:p>
        </w:tc>
      </w:tr>
      <w:tr>
        <w:trPr>
          <w:trHeight w:hRule="atLeast" w:val="329"/>
        </w:trPr>
        <w:tc>
          <w:tcPr>
            <w:tcW w:type="dxa" w:w="127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분류</w:t>
            </w:r>
          </w:p>
        </w:tc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적용시점</w:t>
            </w:r>
          </w:p>
        </w:tc>
        <w:tc>
          <w:tcPr>
            <w:tcW w:type="dxa" w:w="6526"/>
            <w:gridSpan w:val="3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【확인필요 — 예: 2026년 4분기 가동 (H100 반입 일정 동기)】</w:t>
            </w:r>
          </w:p>
        </w:tc>
      </w:tr>
      <w:tr>
        <w:trPr>
          <w:trHeight w:hRule="atLeast" w:val="420"/>
        </w:trPr>
        <w:tc>
          <w:tcPr>
            <w:tcW w:type="dxa" w:w="1270"/>
            <w:vMerge/>
          </w:tcPr>
          <w:p/>
        </w:tc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횡전개 범위</w:t>
            </w:r>
          </w:p>
        </w:tc>
        <w:tc>
          <w:tcPr>
            <w:tcW w:type="dxa" w:w="6526"/>
            <w:gridSpan w:val="3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메모리사업부 제조기술센터 품질·공정 엔지니어 약 1,000명 / FAB·EDS 전 공정 / DRAM·NAND 전 제품군. 1차 계측 Trend 판정 → 2차 FDC Interlock Release·EDS Bin Map 판정·설비 PM 초도 검증으로 도구 카탈로그 교체만으로 확산</w:t>
            </w:r>
          </w:p>
        </w:tc>
      </w:tr>
      <w:tr>
        <w:trPr>
          <w:trHeight w:hRule="atLeast" w:val="102"/>
        </w:trPr>
        <w:tc>
          <w:tcPr>
            <w:tcW w:type="dxa" w:w="9066"/>
            <w:gridSpan w:val="5"/>
            <w:vAlign w:val="center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4"/>
                <w:u w:val="none"/>
              </w:rPr>
              <w:t>II. Process</w:t>
            </w:r>
          </w:p>
        </w:tc>
      </w:tr>
      <w:tr>
        <w:trPr>
          <w:trHeight w:hRule="atLeast" w:val="8470"/>
        </w:trPr>
        <w:tc>
          <w:tcPr>
            <w:tcW w:type="dxa" w:w="127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문제 정의</w:t>
            </w:r>
          </w:p>
        </w:tc>
        <w:tc>
          <w:tcPr>
            <w:tcW w:type="dxa" w:w="7796"/>
            <w:gridSpan w:val="4"/>
            <w:vAlign w:val="top"/>
          </w:tcPr>
          <w:p>
            <w:pPr>
              <w:spacing w:before="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1. 현상 — 품질 이상 1건의 판정이 여전히 '사람의 시스템 순회'로만 이뤄진다</w:t>
            </w:r>
          </w:p>
          <w:p>
            <w:pPr>
              <w:spacing w:before="0" w:after="6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계측 Trend 이상·Wafer Map 패턴·Defect Image 가 발생하면 엔지니어는 SPC·FDC 경보를 확인한 뒤, GPM 기준정보 / 설비·공정 변경점 이력 / Map·Image 뷰어 / 과거 유사 사례(informnote·작업 Note)를 서로 다른 시스템에서 하나씩 조회·대조한다.</w:t>
            </w:r>
          </w:p>
          <w:p>
            <w:pPr>
              <w:spacing w:before="0" w:after="6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건당 4~6개 시스템을 오가며, 무엇을 다음에 볼지와 최종 판정 품질이 담당자 개인의 경험에 좌우된다. 판정 근거는 대개 구두나 개인 메모로만 남는다.</w:t>
            </w:r>
          </w:p>
          <w:p>
            <w:pPr>
              <w:spacing w:before="10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2. 중요도 — 판정 지연과 오판이 곧 수율·납기 손실이다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대상 규모 : 제조기술센터 품질·공정 엔지니어 약 1,000명, FAB·EDS 전 공정, DRAM·NAND 전 제품군에서 매일 발생하는 상시·대량 업무다.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업무 부하 : 이상 분석·판정에 1인당 일 4시간, 총 근무 8시간의 50%가 이 한 가지 업무에 묶인다.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오판 비용 : 진성 불량을 놓치면 불량 유출·고객 클레임으로 이어지고, 가성 불량을 Hold 하면 불필요한 라인 정지와 Lot 대기가 발생한다. 판정 1건이 수율 보호와 TAT 에 직접 연결된다.</w:t>
            </w:r>
          </w:p>
          <w:p>
            <w:pPr>
              <w:spacing w:before="10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3. 개선 필요성 — 현재 구조로는 세 가지가 '구조적으로' 해결되지 않는다</w:t>
            </w:r>
          </w:p>
          <w:p>
            <w:pPr>
              <w:spacing w:before="0" w:after="60" w:line="240" w:lineRule="auto"/>
              <w:ind w:left="425" w:hanging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① 감시 공백 : 이상은 야간·휴일을 가리지 않지만 수작업 분석은 근무 시간에 묶인다. 특히 임계값을 넘지 않고 완만하게 흐르는 shift 는 규칙 경보에 걸리지 않아 며칠 뒤에야 발견된다.</w:t>
            </w:r>
          </w:p>
          <w:p>
            <w:pPr>
              <w:spacing w:before="0" w:after="60" w:line="240" w:lineRule="auto"/>
              <w:ind w:left="425" w:hanging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② 판정 노하우의 유실 : 베테랑의 판단 기준이 개인 경험에 머물러 인력 이동 시 조직에서 사라진다. 판정 근거가 구조화되어 남지 않아 감사·재발 분석 대응도 매번 처음부터 다시 한다.</w:t>
            </w:r>
          </w:p>
          <w:p>
            <w:pPr>
              <w:spacing w:before="0" w:after="60" w:line="240" w:lineRule="auto"/>
              <w:ind w:left="425" w:hanging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③ 기존 수단의 한계 : 규칙 기반 SPC·FDC 경보는 '값이 넘었다'만 알려줄 뿐 원인을 설명하지 못한다. 사내 공용 LLM API·공용 RAG 는 문서 질의응답 전용이라, DB 조회·이미지 판독·시계열 분석을 결합한 도구 호출형 분석과 사내 용어·판정 논리의 도메인 학습이 불가능하다.</w:t>
            </w:r>
          </w:p>
          <w:p>
            <w:pPr>
              <w:spacing w:before="10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4. 그래서 무엇을 바꿔야 하는가 — 화면 개선이 아니라 Process 대체</w:t>
            </w:r>
          </w:p>
          <w:p>
            <w:pPr>
              <w:spacing w:before="0" w:after="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조회 화면 하나를 편하게 만드는 개선으로는 위 세 가지가 그대로 남는다. '감지 → 정보 수집 → 원인 분석 → 판단 → 조치 → 기록·활용'이라는 판정 업무 전 구간을, 사람이 시스템을 순회하던 방식에서 Agent 가 스스로 필요한 도구를 호출해 근거와 함께 답을 내고 그 결과가 다시 학습으로 돌아오는 방식으로 재설계해야 한다.</w:t>
            </w:r>
          </w:p>
        </w:tc>
      </w:tr>
    </w:tbl>
    <w:p>
      <w:pPr>
        <w:spacing w:before="0" w:after="0" w:line="120" w:lineRule="auto"/>
      </w:pPr>
      <w:r>
        <w:rPr>
          <w:rFonts w:ascii="바탕체" w:hAnsi="바탕체" w:eastAsia="바탕체" w:cs="바탕체"/>
          <w:b w:val="0"/>
          <w:sz w:val="2"/>
          <w:u w:val="none"/>
        </w:rPr>
        <w:br w:type="page"/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7795"/>
      </w:tblGrid>
      <w:tr>
        <w:trPr>
          <w:trHeight w:hRule="atLeast" w:val="13697"/>
        </w:trPr>
        <w:tc>
          <w:tcPr>
            <w:tcW w:type="dxa" w:w="127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Process</w:t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재설계</w:t>
            </w:r>
          </w:p>
        </w:tc>
        <w:tc>
          <w:tcPr>
            <w:tcW w:type="dxa" w:w="7795"/>
            <w:vAlign w:val="top"/>
          </w:tcPr>
          <w:p>
            <w:pPr>
              <w:spacing w:before="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1. 대상 E2E Process : 품질 이상 판정 Process</w:t>
            </w:r>
          </w:p>
          <w:p>
            <w:pPr>
              <w:spacing w:before="0" w:after="8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이상 감지 → 정보 수집 → 원인 분석 → 진성 판단 → Release/Hold 조치 → 결과 기록·활용까지 6단계 전 구간이 대상이며, 아래 붉은 영역(①~④)이 Q-Agent 로 대체된 구간이다.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256"/>
              <w:gridCol w:w="1256"/>
              <w:gridCol w:w="1256"/>
              <w:gridCol w:w="1256"/>
              <w:gridCol w:w="1256"/>
              <w:gridCol w:w="1256"/>
            </w:tblGrid>
            <w:tr>
              <w:trPr>
                <w:trHeight w:hRule="atLeast" w:val="351"/>
              </w:trPr>
              <w:tc>
                <w:tcPr>
                  <w:tcW w:type="dxa" w:w="1257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① 감시</w:t>
                  </w:r>
                </w:p>
              </w:tc>
              <w:tc>
                <w:tcPr>
                  <w:tcW w:type="dxa" w:w="1257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② 수집</w:t>
                  </w:r>
                </w:p>
              </w:tc>
              <w:tc>
                <w:tcPr>
                  <w:tcW w:type="dxa" w:w="1257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③ 분석</w:t>
                  </w:r>
                </w:p>
              </w:tc>
              <w:tc>
                <w:tcPr>
                  <w:tcW w:type="dxa" w:w="1257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④ 판단</w:t>
                  </w:r>
                </w:p>
              </w:tc>
              <w:tc>
                <w:tcPr>
                  <w:tcW w:type="dxa" w:w="125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⑤ 조치</w:t>
                  </w:r>
                </w:p>
              </w:tc>
              <w:tc>
                <w:tcPr>
                  <w:tcW w:type="dxa" w:w="125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⑥ 활용</w:t>
                  </w:r>
                </w:p>
              </w:tc>
            </w:tr>
          </w:tbl>
          <w:p/>
          <w:p>
            <w:pPr>
              <w:spacing w:before="60" w:after="100" w:line="240" w:lineRule="auto"/>
              <w:jc w:val="center"/>
            </w:pPr>
            <w:r>
              <w:rPr>
                <w:rFonts w:ascii="바탕체" w:hAnsi="바탕체" w:eastAsia="바탕체" w:cs="바탕체"/>
                <w:b w:val="0"/>
                <w:color w:val="C00000"/>
                <w:sz w:val="20"/>
                <w:u w:val="none"/>
              </w:rPr>
              <w:t>※ ①~④ = Q-Agent 완전 대체　/　⑤ = Agent 권고 + 엔지니어 승인(HITL)　/　⑥ = 자동 이력화 후 학습 순환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963"/>
              <w:gridCol w:w="3061"/>
              <w:gridCol w:w="3514"/>
            </w:tblGrid>
            <w:tr>
              <w:trPr>
                <w:trHeight w:hRule="atLeast" w:val="312"/>
              </w:trPr>
              <w:tc>
                <w:tcPr>
                  <w:tcW w:type="dxa" w:w="964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단계</w:t>
                  </w:r>
                </w:p>
              </w:tc>
              <w:tc>
                <w:tcPr>
                  <w:tcW w:type="dxa" w:w="306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AS-IS (현행 — 사람이 수행)</w:t>
                  </w:r>
                </w:p>
              </w:tc>
              <w:tc>
                <w:tcPr>
                  <w:tcW w:type="dxa" w:w="3515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TO-BE (Q-Agent 가 수행)</w:t>
                  </w:r>
                </w:p>
              </w:tc>
            </w:tr>
            <w:tr>
              <w:trPr>
                <w:trHeight w:hRule="atLeast" w:val="595"/>
              </w:trPr>
              <w:tc>
                <w:tcPr>
                  <w:tcW w:type="dxa" w:w="964"/>
                  <w:vAlign w:val="center"/>
                  <w:shd w:val="clear" w:color="auto" w:fill="FBE4E4"/>
                  <w:tcBorders>
                    <w:top w:val="single" w:sz="8" w:space="0" w:color="C00000"/>
                    <w:bottom w:val="single" w:sz="8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① 감시</w:t>
                  </w:r>
                </w:p>
              </w:tc>
              <w:tc>
                <w:tcPr>
                  <w:tcW w:type="dxa" w:w="3061"/>
                  <w:shd w:val="clear" w:color="auto" w:fill="FBE4E4"/>
                  <w:tcBorders>
                    <w:top w:val="single" w:sz="8" w:space="0" w:color="C00000"/>
                    <w:bottom w:val="single" w:sz="8" w:space="0" w:color="C00000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SPC·FDC 경보 확인과 Trend 육안 점검. 근무 시간에 한함. 완만한 shift 는 놓침</w:t>
                  </w:r>
                </w:p>
              </w:tc>
              <w:tc>
                <w:tcPr>
                  <w:tcW w:type="dxa" w:w="3515"/>
                  <w:shd w:val="clear" w:color="auto" w:fill="FBE4E4"/>
                  <w:tcBorders>
                    <w:top w:val="single" w:sz="8" w:space="0" w:color="C00000"/>
                    <w:bottom w:val="single" w:sz="8" w:space="0" w:color="C00000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PatchTST + CUSUM/BOCPD 가 채널별로 24시간 감시하고 변화 시점·변화량을 수치로 특정해 Agent 를 자동 기동</w:t>
                  </w:r>
                </w:p>
              </w:tc>
            </w:tr>
            <w:tr>
              <w:trPr>
                <w:trHeight w:hRule="atLeast" w:val="595"/>
              </w:trPr>
              <w:tc>
                <w:tcPr>
                  <w:tcW w:type="dxa" w:w="964"/>
                  <w:vAlign w:val="center"/>
                  <w:shd w:val="clear" w:color="auto" w:fill="FBE4E4"/>
                  <w:tcBorders>
                    <w:top w:val="single" w:sz="8" w:space="0" w:color="C00000"/>
                    <w:bottom w:val="single" w:sz="8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② 수집</w:t>
                  </w:r>
                </w:p>
              </w:tc>
              <w:tc>
                <w:tcPr>
                  <w:tcW w:type="dxa" w:w="3061"/>
                  <w:shd w:val="clear" w:color="auto" w:fill="FBE4E4"/>
                  <w:tcBorders>
                    <w:top w:val="single" w:sz="8" w:space="0" w:color="C00000"/>
                    <w:bottom w:val="single" w:sz="8" w:space="0" w:color="C00000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GPM 기준·변경점 이력·Map/Image 뷰어·과거 사례를 4~6개 시스템에서 각각 수작업 조회</w:t>
                  </w:r>
                </w:p>
              </w:tc>
              <w:tc>
                <w:tcPr>
                  <w:tcW w:type="dxa" w:w="3515"/>
                  <w:shd w:val="clear" w:color="auto" w:fill="FBE4E4"/>
                  <w:tcBorders>
                    <w:top w:val="single" w:sz="8" w:space="0" w:color="C00000"/>
                    <w:bottom w:val="single" w:sz="8" w:space="0" w:color="C00000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Agent 가 도구를 자율 선택·호출(건당 5~15회). DB 조회·이미지 판독·유사사례 검색·OCR 결과를 텍스트로 회수</w:t>
                  </w:r>
                </w:p>
              </w:tc>
            </w:tr>
            <w:tr>
              <w:trPr>
                <w:trHeight w:hRule="atLeast" w:val="595"/>
              </w:trPr>
              <w:tc>
                <w:tcPr>
                  <w:tcW w:type="dxa" w:w="964"/>
                  <w:vAlign w:val="center"/>
                  <w:shd w:val="clear" w:color="auto" w:fill="FBE4E4"/>
                  <w:tcBorders>
                    <w:top w:val="single" w:sz="8" w:space="0" w:color="C00000"/>
                    <w:bottom w:val="single" w:sz="8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③ 분석</w:t>
                  </w:r>
                </w:p>
              </w:tc>
              <w:tc>
                <w:tcPr>
                  <w:tcW w:type="dxa" w:w="3061"/>
                  <w:shd w:val="clear" w:color="auto" w:fill="FBE4E4"/>
                  <w:tcBorders>
                    <w:top w:val="single" w:sz="8" w:space="0" w:color="C00000"/>
                    <w:bottom w:val="single" w:sz="8" w:space="0" w:color="C00000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개인 경험으로 원인 가설 수립. 담당자마다 결론이 달라짐</w:t>
                  </w:r>
                </w:p>
              </w:tc>
              <w:tc>
                <w:tcPr>
                  <w:tcW w:type="dxa" w:w="3515"/>
                  <w:shd w:val="clear" w:color="auto" w:fill="FBE4E4"/>
                  <w:tcBorders>
                    <w:top w:val="single" w:sz="8" w:space="0" w:color="C00000"/>
                    <w:bottom w:val="single" w:sz="8" w:space="0" w:color="C00000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변화점 검출 수치 + 변경점 이력 + 실측값을 근거로 판단 LLM 이 원인 연관성을 설명 (시계열 원본은 투입하지 않음)</w:t>
                  </w:r>
                </w:p>
              </w:tc>
            </w:tr>
            <w:tr>
              <w:trPr>
                <w:trHeight w:hRule="atLeast" w:val="595"/>
              </w:trPr>
              <w:tc>
                <w:tcPr>
                  <w:tcW w:type="dxa" w:w="964"/>
                  <w:vAlign w:val="center"/>
                  <w:shd w:val="clear" w:color="auto" w:fill="FBE4E4"/>
                  <w:tcBorders>
                    <w:top w:val="single" w:sz="8" w:space="0" w:color="C00000"/>
                    <w:bottom w:val="single" w:sz="8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④ 판단</w:t>
                  </w:r>
                </w:p>
              </w:tc>
              <w:tc>
                <w:tcPr>
                  <w:tcW w:type="dxa" w:w="3061"/>
                  <w:shd w:val="clear" w:color="auto" w:fill="FBE4E4"/>
                  <w:tcBorders>
                    <w:top w:val="single" w:sz="8" w:space="0" w:color="C00000"/>
                    <w:bottom w:val="single" w:sz="8" w:space="0" w:color="C00000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진성/가성 판정. 근거는 구두·개인 메모로만 남음</w:t>
                  </w:r>
                </w:p>
              </w:tc>
              <w:tc>
                <w:tcPr>
                  <w:tcW w:type="dxa" w:w="3515"/>
                  <w:shd w:val="clear" w:color="auto" w:fill="FBE4E4"/>
                  <w:tcBorders>
                    <w:top w:val="single" w:sz="8" w:space="0" w:color="C00000"/>
                    <w:bottom w:val="single" w:sz="8" w:space="0" w:color="C00000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진성 판정 + 근거 원문 인용 + 신뢰도 + 사용 모델 버전을 함께 출력</w:t>
                  </w:r>
                </w:p>
              </w:tc>
            </w:tr>
            <w:tr>
              <w:trPr>
                <w:trHeight w:hRule="atLeast" w:val="595"/>
              </w:trPr>
              <w:tc>
                <w:tcPr>
                  <w:tcW w:type="dxa" w:w="964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⑤ 조치</w:t>
                  </w:r>
                </w:p>
              </w:tc>
              <w:tc>
                <w:tcPr>
                  <w:tcW w:type="dxa" w:w="306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Release/Hold 결정 및 실행</w:t>
                  </w:r>
                </w:p>
              </w:tc>
              <w:tc>
                <w:tcPr>
                  <w:tcW w:type="dxa" w:w="351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Agent 의 기간계 접근은 조회 전용. Release/Hold 조치안을 근거와 함께 제시하고 엔지니어가 승인(HITL)</w:t>
                  </w:r>
                </w:p>
              </w:tc>
            </w:tr>
            <w:tr>
              <w:trPr>
                <w:trHeight w:hRule="atLeast" w:val="595"/>
              </w:trPr>
              <w:tc>
                <w:tcPr>
                  <w:tcW w:type="dxa" w:w="964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⑥ 활용</w:t>
                  </w:r>
                </w:p>
              </w:tc>
              <w:tc>
                <w:tcPr>
                  <w:tcW w:type="dxa" w:w="306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결과가 개인 메모로 흩어짐. 노하우가 조직에 남지 않음</w:t>
                  </w:r>
                </w:p>
              </w:tc>
              <w:tc>
                <w:tcPr>
                  <w:tcW w:type="dxa" w:w="351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판정 이력 영구 기록(감사 대응) + 피드백(채택/수정/기각)이 월 4회 재학습으로 순환 — 쓸수록 정확해짐</w:t>
                  </w:r>
                </w:p>
              </w:tc>
            </w:tr>
          </w:tbl>
          <w:p/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2. 무엇이 '단일 기능 개선'이 아닌가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시작점 대체 : 사람이 경보를 '보고 인지'하던 시작 트리거를 시계열 모델의 자동 기동으로 바꿨다 — 업무의 출발점이 더 이상 사람이 아니다.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중간 대체 : 4~6개 시스템 순회라는 수집·분석 노동 자체가 사라졌다. 화면을 편하게 만든 것이 아니라 화면을 여는 일을 없앴다.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결과 활용까지 대체 : 판정 결과가 근거·신뢰도·모델 버전이 붙은 이력으로 남고, 엔지니어 피드백이 곧바로 다음 달 학습 데이터가 된다 — 업무의 끝이 다음 업무의 성능이 된다.</w:t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3. 확산 계획 — 같은 골격에 도구만 갈아 끼운다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확산이 싼 이유 : 판단 LLM 은 단일 서빙 + 코드 레벨 라우팅 구조라, 대상 Process 가 늘어도 모델을 늘리지 않는다. 늘어나는 것은 도구 어댑터와 사내 용어 사전 항목뿐이다.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- 1차(본 과제) 계측 Metrology Trend 판정 → 2차 FDC Interlock Release · EDS Bin/Wafer Map 판정 · 설비 PM 후 초도 검증 · 계측 장비 상관성(Correlation) 이상 대응 · 신제품 램프업 판정 기준 수립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확산 대상 : 제조기술센터 품질·공정 엔지니어 약 1,000명 (FAB·EDS 전 공정, DRAM·NAND 전 제품군)</w:t>
            </w:r>
          </w:p>
        </w:tc>
      </w:tr>
    </w:tbl>
    <w:p>
      <w:pPr>
        <w:spacing w:before="0" w:after="0" w:line="120" w:lineRule="auto"/>
      </w:pPr>
      <w:r>
        <w:rPr>
          <w:rFonts w:ascii="바탕체" w:hAnsi="바탕체" w:eastAsia="바탕체" w:cs="바탕체"/>
          <w:b w:val="0"/>
          <w:sz w:val="2"/>
          <w:u w:val="none"/>
        </w:rPr>
        <w:br w:type="page"/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7795"/>
      </w:tblGrid>
      <w:tr>
        <w:trPr>
          <w:trHeight w:hRule="atLeast" w:val="340"/>
        </w:trPr>
        <w:tc>
          <w:tcPr>
            <w:tcW w:type="dxa" w:w="9065"/>
            <w:gridSpan w:val="2"/>
            <w:vAlign w:val="center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4"/>
                <w:u w:val="none"/>
              </w:rPr>
              <w:t>III. Tech</w:t>
            </w:r>
          </w:p>
        </w:tc>
      </w:tr>
      <w:tr>
        <w:trPr>
          <w:trHeight w:hRule="atLeast" w:val="12869"/>
        </w:trPr>
        <w:tc>
          <w:tcPr>
            <w:tcW w:type="dxa" w:w="127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기술적</w:t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해결 방안</w:t>
            </w:r>
          </w:p>
        </w:tc>
        <w:tc>
          <w:tcPr>
            <w:tcW w:type="dxa" w:w="7795"/>
            <w:vAlign w:val="top"/>
          </w:tcPr>
          <w:p>
            <w:pPr>
              <w:spacing w:before="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1. 왜 AI Agent 여야 하는가 — 단순 로직·기존 자동화로 풀리지 않는 이유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조회 순서를 미리 못 정한다 : 무엇을 다음에 볼지가 사안마다 다르다(설비 이력을 먼저 볼지, 유사 사례를 먼저 볼지). 규칙으로 쓰면 분기 조합이 폭발하고, 새 공정·신제품이 들어올 때마다 규칙이 발산한다. '다음에 무엇을 조회할지'를 상황에 따라 스스로 정하는 것이 Agent 를 쓰는 유일한 이유다.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입력이 이종(異種) 모달이다 : 시계열·이미지·자연어 문서·정형 DB 를 한 사안에서 함께 봐야 한다. 하나의 규칙 언어나 단일 모델로 표현되지 않는다.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정답이 라벨이 아니라 '근거를 갖춘 설명'이다 : 분류 모델은 Hold/Release 를 찍을 수는 있어도 왜 그런지를 원문 인용과 함께 낼 수 없다. 품질 판정은 결론보다 근거가 감사 대상이다.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임계 기반 자동화의 한계 : 기존 SPC·FDC 룰은 값이 넘어야만 울린다. 임계 아래에서 완만히 흐르는 shift 는 잡지 못한다.</w:t>
            </w:r>
          </w:p>
          <w:p>
            <w:pPr>
              <w:spacing w:before="120" w:after="6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2. 알고리즘 선택 근거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303"/>
              <w:gridCol w:w="1870"/>
              <w:gridCol w:w="4365"/>
            </w:tblGrid>
            <w:tr>
              <w:trPr>
                <w:trHeight w:hRule="atLeast" w:val="283"/>
              </w:trPr>
              <w:tc>
                <w:tcPr>
                  <w:tcW w:type="dxa" w:w="1304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과제</w:t>
                  </w:r>
                </w:p>
              </w:tc>
              <w:tc>
                <w:tcPr>
                  <w:tcW w:type="dxa" w:w="187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선택 알고리즘</w:t>
                  </w:r>
                </w:p>
              </w:tc>
              <w:tc>
                <w:tcPr>
                  <w:tcW w:type="dxa" w:w="4365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선택 근거</w:t>
                  </w:r>
                </w:p>
              </w:tc>
            </w:tr>
            <w:tr>
              <w:tc>
                <w:tcPr>
                  <w:tcW w:type="dxa" w:w="1304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판단·오케스트레이션</w:t>
                  </w:r>
                </w:p>
              </w:tc>
              <w:tc>
                <w:tcPr>
                  <w:tcW w:type="dxa" w:w="187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GLM-5.2 743B-A39B MoE (FP8)</w:t>
                  </w:r>
                </w:p>
              </w:tc>
              <w:tc>
                <w:tcPr>
                  <w:tcW w:type="dxa" w:w="436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도구 호출(tool call) 안정성과 장문 근거 종합 능력이 필요한 유일한 자리. MoE 라 활성 파라미터 39B 만 연산해 743B 급 판단력을 추론 비용 없이 쓴다. 판단·코딩·도구 호출을 단일 서빙으로 묶고 시스템 프롬프트로만 역할을 분기해 prefix cache 를 공유한다.</w:t>
                  </w:r>
                </w:p>
              </w:tc>
            </w:tr>
            <w:tr>
              <w:tc>
                <w:tcPr>
                  <w:tcW w:type="dxa" w:w="1304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Trend 이상탐지</w:t>
                  </w:r>
                </w:p>
              </w:tc>
              <w:tc>
                <w:tcPr>
                  <w:tcW w:type="dxa" w:w="187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PatchTST(~5M) + CUSUM / BOCPD</w:t>
                  </w:r>
                </w:p>
              </w:tc>
              <w:tc>
                <w:tcPr>
                  <w:tcW w:type="dxa" w:w="436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'언제부터, 얼마나' 라는 수치 특정은 LLM 이 잘 못하고 통계·시계열 모델이 잘한다. 층1 에서 변화 시점·변화량을 수치로 찍고, 층2 에서 LLM 이 원인을 설명하는 2층 구조. 시계열 원본을 LLM 에 통째로 넣지 않아 토큰·오독을 동시에 줄인다. 채널별 경량 학습이라 확산 비용이 낮다.</w:t>
                  </w:r>
                </w:p>
              </w:tc>
            </w:tr>
            <w:tr>
              <w:tc>
                <w:tcPr>
                  <w:tcW w:type="dxa" w:w="1304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불량·Map 분류</w:t>
                  </w:r>
                </w:p>
              </w:tc>
              <w:tc>
                <w:tcPr>
                  <w:tcW w:type="dxa" w:w="187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ConvNeXt V2 Large/Base</w:t>
                  </w:r>
                </w:p>
              </w:tc>
              <w:tc>
                <w:tcPr>
                  <w:tcW w:type="dxa" w:w="436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라벨이 있는 기지(旣知) 불량은 분류 모델이 가장 싸고 정확하다. 여기에 VLM 을 쓰는 것은 비용 낭비다.</w:t>
                  </w:r>
                </w:p>
              </w:tc>
            </w:tr>
            <w:tr>
              <w:tc>
                <w:tcPr>
                  <w:tcW w:type="dxa" w:w="1304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미지 불량 검출</w:t>
                  </w:r>
                </w:p>
              </w:tc>
              <w:tc>
                <w:tcPr>
                  <w:tcW w:type="dxa" w:w="187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PatchCore + WRN-50-2</w:t>
                  </w:r>
                </w:p>
              </w:tc>
              <w:tc>
                <w:tcPr>
                  <w:tcW w:type="dxa" w:w="436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학습 라벨이 없는 신규 패턴이 실제 사고의 다수다. 정상 특징 메모리뱅크와의 거리로 처음 보는 불량을 잡는다 — 분류 모델로는 구조적으로 불가능한 영역.</w:t>
                  </w:r>
                </w:p>
              </w:tc>
            </w:tr>
            <w:tr>
              <w:tc>
                <w:tcPr>
                  <w:tcW w:type="dxa" w:w="1304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문서 검색</w:t>
                  </w:r>
                </w:p>
              </w:tc>
              <w:tc>
                <w:tcPr>
                  <w:tcW w:type="dxa" w:w="187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Qwen3-Embedding-8B + Qwen3-Reranker-8B + BM25 하이브리드</w:t>
                  </w:r>
                </w:p>
              </w:tc>
              <w:tc>
                <w:tcPr>
                  <w:tcW w:type="dxa" w:w="436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판정 근거는 사내 informnote·작업 Note 라는 자연어에 있고 약어·표기 흔들림이 심하다. 의미(벡터)와 정확 일치(BM25)를 함께 써야 놓치지 않는다. 리랭커는 cross-encoder 라 검색기 계열과 무관하게 결합된다.</w:t>
                  </w:r>
                </w:p>
              </w:tc>
            </w:tr>
            <w:tr>
              <w:tc>
                <w:tcPr>
                  <w:tcW w:type="dxa" w:w="1304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이미지 판독</w:t>
                  </w:r>
                </w:p>
              </w:tc>
              <w:tc>
                <w:tcPr>
                  <w:tcW w:type="dxa" w:w="187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Qwen3.5-397B-A17B(정밀) / Qwen3.6-35B-A3B(상시)</w:t>
                  </w:r>
                </w:p>
              </w:tc>
              <w:tc>
                <w:tcPr>
                  <w:tcW w:type="dxa" w:w="436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정밀 판독은 무거운 모델이 필요하지만 상시 호출까지 무겁게 갈 이유는 없다. 학습 중에도 경량 모델이 상주해 이미지 기능이 무중단으로 유지된다.</w:t>
                  </w:r>
                </w:p>
              </w:tc>
            </w:tr>
          </w:tbl>
          <w:p/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3. 성능 지표 — 측정 체계와 게이트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고정 지표 4종 : ①검색 recall@10 ②골든 시나리오 판정 정답률 ③건당 도구 호출 수·처리 시간 ④근거 인용 정확도(인용 원문이 실제 판정을 뒷받침하는가).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회귀 게이트 : 모델·프롬프트·색인 중 무엇을 바꾸든 골든 시나리오 회귀 평가에서 recall@10 과 판정 정답률을 전후 비교해 통과한 버전만 배포한다. H100 20장 중 1장을 회귀 평가 전용으로 상시 배정했다.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현재 상태 : 골든 시나리오 4건 확보, 30건으로 확장 중이며 평가 러너를 구축하는 단계다. 실측 수치는 【확인필요 — 가동 후 골든셋 실측으로 기입】. 지어낸 수치는 기재하지 않는다.</w:t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4. 알고리즘 개선을 위해 수행한 과정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검색 3층 분기 설계 : 한 원문에서 ①원문(LLM 반환용) ②병기 확장문 임베딩 ③형태소 색인어(tsvector)를 각각 독립으로 만든다. 한쪽 출력이 다른 쪽 입력이 되면 오염이 누적되므로 상호 참조를 금지했다.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사내 용어 사전 병기 : ACI → 'After Clean Inspection, 세정 후 계측' 식으로 표준키·변형·병기문을 관리한다. 실제 그 용어가 등장한 문서에만 적용해 IDF 붕괴를 막았고, 최대 수혜자는 BM25 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색인 정규화 함수 통일 : 설비 ID(PHO-D03 등)를 통짜로 보호한 뒤 Kiwi 형태소 분석 → 품사 필터 → 원형 복원 순으로 처리하고, 적재와 질의에 반드시 같은 함수를 쓰도록 강제했다. 원문을 보존하므로 사전·필터가 바뀌면 재색인 배치 한 번으로 전량 반영된다.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하이브리드 + 리랭커 : 벡터 + BM25 + 메타 조건으로 후보 약 200건을 만든 뒤 Reranker-8B 로 상위 20건을 고른다. 벡터 색인은 halfvec 채택으로 크기를 절반으로 줄였다.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캐시 사고 방지 : 판단 결과에는 semantic cache 를 금지했다(지난주의 답을 재사용하면 그 자체가 사고). 조회성 결과만 짧은 TTL 로 캐시한다.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학습 루프 : 엔지니어 피드백(채택/수정/기각)을 데이터셋으로 쌓아 월 4회 SFT → DPO/GRPO 로 반영하고, 회귀 통과 시에만 배포한다. 모든 판정에 근거·신뢰도·모델 버전을 함께 기록해 재현성과 감사 대응을 확보했다.</w:t>
            </w:r>
          </w:p>
        </w:tc>
      </w:tr>
    </w:tbl>
    <w:p>
      <w:pPr>
        <w:spacing w:before="0" w:after="0" w:line="120" w:lineRule="auto"/>
      </w:pPr>
      <w:r>
        <w:rPr>
          <w:rFonts w:ascii="바탕체" w:hAnsi="바탕체" w:eastAsia="바탕체" w:cs="바탕체"/>
          <w:b w:val="0"/>
          <w:sz w:val="2"/>
          <w:u w:val="none"/>
        </w:rPr>
        <w:br w:type="page"/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7795"/>
      </w:tblGrid>
      <w:tr>
        <w:trPr>
          <w:trHeight w:hRule="atLeast" w:val="397"/>
        </w:trPr>
        <w:tc>
          <w:tcPr>
            <w:tcW w:type="dxa" w:w="9065"/>
            <w:gridSpan w:val="2"/>
            <w:vAlign w:val="center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4"/>
                <w:u w:val="none"/>
              </w:rPr>
              <w:t>IIII. 경영효과</w:t>
            </w:r>
          </w:p>
        </w:tc>
      </w:tr>
      <w:tr>
        <w:trPr>
          <w:trHeight w:hRule="atLeast" w:val="12404"/>
        </w:trPr>
        <w:tc>
          <w:tcPr>
            <w:tcW w:type="dxa" w:w="127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예상 성과</w:t>
            </w:r>
          </w:p>
        </w:tc>
        <w:tc>
          <w:tcPr>
            <w:tcW w:type="dxa" w:w="7795"/>
            <w:vAlign w:val="top"/>
          </w:tcPr>
          <w:p>
            <w:pPr>
              <w:spacing w:before="0" w:after="8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※ 본 과제는 신규 구축 과제로, 아래는 산출 공식이 명시된 예상 성과다.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3770"/>
              <w:gridCol w:w="3770"/>
            </w:tblGrid>
            <w:tr>
              <w:trPr>
                <w:trHeight w:hRule="atLeast" w:val="340"/>
              </w:trPr>
              <w:tc>
                <w:tcPr>
                  <w:tcW w:type="dxa" w:w="3770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2"/>
                      <w:u w:val="none"/>
                    </w:rPr>
                    <w:t>유형 효과 (정량)</w:t>
                  </w:r>
                </w:p>
              </w:tc>
              <w:tc>
                <w:tcPr>
                  <w:tcW w:type="dxa" w:w="3770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2"/>
                      <w:u w:val="none"/>
                    </w:rPr>
                    <w:t>무형 효과 (정성)</w:t>
                  </w:r>
                </w:p>
              </w:tc>
            </w:tr>
            <w:tr>
              <w:tc>
                <w:tcPr>
                  <w:tcW w:type="dxa" w:w="3770"/>
                  <w:vAlign w:val="top"/>
                </w:tcPr>
                <w:p>
                  <w:pPr>
                    <w:spacing w:before="0" w:after="4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① 운영 인건비 절감  △200억원/년</w:t>
                  </w:r>
                </w:p>
                <w:p>
                  <w:pPr>
                    <w:spacing w:before="0" w:after="40" w:line="240" w:lineRule="auto"/>
                    <w:ind w:left="170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산출식 : [(개선 전 4h ÷ 8h) − (개선 후 2h ÷ 8h)] × 평균 연봉 80,000,000원 × 1,000명 = 20,000,000,000원/년</w:t>
                  </w:r>
                </w:p>
                <w:p>
                  <w:pPr>
                    <w:spacing w:before="0" w:after="80" w:line="240" w:lineRule="auto"/>
                    <w:ind w:left="170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근거 : 품질·공정 엔지니어 1,000명의 이상 분석·판정 업무가 1인당 일 4시간. Agent 의 자동 감지·근거 수집·조치안 제시로 2시간으로 단축.</w:t>
                  </w:r>
                </w:p>
                <w:p>
                  <w:pPr>
                    <w:spacing w:before="0" w:after="4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② 투자 대비 효과</w:t>
                  </w:r>
                </w:p>
                <w:p>
                  <w:pPr>
                    <w:spacing w:before="0" w:after="40" w:line="240" w:lineRule="auto"/>
                    <w:ind w:left="170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투자 : 347,794,165원/년 (BIG VM 5대 + NAS 100TB + OBJ 50TB, 사내 과금 단가)</w:t>
                  </w:r>
                </w:p>
                <w:p>
                  <w:pPr>
                    <w:spacing w:before="0" w:after="80" w:line="240" w:lineRule="auto"/>
                    <w:ind w:left="170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ROI : 200억 ÷ 3.48억 ≒ 약 57.5배 / 투자 회수 기간 약 6.4일</w:t>
                  </w:r>
                </w:p>
                <w:p>
                  <w:pPr>
                    <w:spacing w:before="0" w:after="4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③ 별도 산정 예정</w:t>
                  </w:r>
                </w:p>
                <w:p>
                  <w:pPr>
                    <w:spacing w:before="0" w:after="40" w:line="240" w:lineRule="auto"/>
                    <w:ind w:left="170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오판 감소 효과(진성 불량 유출 방지 · 가성 불량의 불필요 Hold 저감)와 Lot 대기 감소에 따른 TAT 개선분은 위 금액에 포함하지 않았다. 가동 후 실측으로 별도 산정한다.</w:t>
                  </w:r>
                </w:p>
              </w:tc>
              <w:tc>
                <w:tcPr>
                  <w:tcW w:type="dxa" w:w="3770"/>
                  <w:vAlign w:val="top"/>
                </w:tcPr>
                <w:p>
                  <w:pPr>
                    <w:spacing w:before="0" w:after="2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① 24시간 감시 공백 제거</w:t>
                  </w:r>
                </w:p>
                <w:p>
                  <w:pPr>
                    <w:spacing w:before="0" w:after="80" w:line="240" w:lineRule="auto"/>
                    <w:ind w:left="170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야간·휴일에 발생한 이상도 즉시 포착된다. 임계 아래에서 완만히 흐르는 shift 까지 변화 시점을 수치로 특정해 조기 대응 기회를 되찾는다.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② 판정 노하우의 조직 자산화</w:t>
                  </w:r>
                </w:p>
                <w:p>
                  <w:pPr>
                    <w:spacing w:before="0" w:after="80" w:line="240" w:lineRule="auto"/>
                    <w:ind w:left="170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개인 경험에 머물던 판단 기준이 판정 이력과 피드백으로 축적되어 학습에 반영된다. 인력 이동과 무관하게 조직에 남는다.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③ 판정 일관성 확보</w:t>
                  </w:r>
                </w:p>
                <w:p>
                  <w:pPr>
                    <w:spacing w:before="0" w:after="80" w:line="240" w:lineRule="auto"/>
                    <w:ind w:left="170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같은 현상에 담당자마다 다른 결론이 나오던 편차가 줄어든다. 신규 인력도 첫날부터 베테랑의 판정 논리를 참조한다.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④ 감사·재발 분석 대응력</w:t>
                  </w:r>
                </w:p>
                <w:p>
                  <w:pPr>
                    <w:spacing w:before="0" w:after="80" w:line="240" w:lineRule="auto"/>
                    <w:ind w:left="170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모든 판정에 근거 원문 인용 · 신뢰도 · 사용 모델 버전이 함께 기록된다. 사후에 '왜 그렇게 판정했는가'를 재현할 수 있다.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⑤ 신제품 램프업 가속</w:t>
                  </w:r>
                </w:p>
                <w:p>
                  <w:pPr>
                    <w:spacing w:before="0" w:after="80" w:line="240" w:lineRule="auto"/>
                    <w:ind w:left="170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판정 근거가 자산으로 남아 신제품 초기 판정 기준이 빠르게 안정화된다.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⑥ 확산 기반 확보</w:t>
                  </w:r>
                </w:p>
                <w:p>
                  <w:pPr>
                    <w:spacing w:before="0" w:after="80" w:line="240" w:lineRule="auto"/>
                    <w:ind w:left="170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감지→수집→분석→판단→조치→학습 골격이 고정되어 있어, 다른 품질 Process 는 도구 어댑터와 용어 사전만 교체하면 된다.</w:t>
                  </w:r>
                </w:p>
              </w:tc>
            </w:tr>
          </w:tbl>
          <w:p/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검증·확산 계획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파일럿 : 골든 시나리오 30건 기반 회귀 평가 통과 후, 특정 공정·설비군을 대상으로 엔지니어 승인(HITL) 전제의 제한 운영을 먼저 수행한다.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현업 검증 : 판정 정답률과 건당 처리 시간을 실측하고, 인건비 환산 기준으로 분기별 검증 보고한다.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확산 : 검증 통과 후 제조기술센터 품질·공정 엔지니어 약 1,000명 대상으로 확대하고, FDC Interlock Release·EDS Bin Map 판정 등 유사 Process 로 순차 확산한다.</w:t>
            </w:r>
          </w:p>
        </w:tc>
      </w:tr>
    </w:tbl>
    <w:sectPr w:rsidR="00FC693F" w:rsidRPr="0006063C" w:rsidSect="00034616">
      <w:pgSz w:w="11906" w:h="16838"/>
      <w:pgMar w:top="170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바탕체" w:hAnsi="바탕체" w:eastAsia="바탕체" w:cs="바탕체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