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바탕체" w:hAnsi="바탕체" w:eastAsia="바탕체" w:cs="바탕체"/>
          <w:b/>
          <w:sz w:val="44"/>
          <w:u w:val="single"/>
        </w:rPr>
        <w:t>AX Award 지원서</w:t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1269"/>
        <w:gridCol w:w="1992"/>
        <w:gridCol w:w="1269"/>
        <w:gridCol w:w="3262"/>
      </w:tblGrid>
      <w:tr>
        <w:trPr>
          <w:trHeight w:hRule="atLeast" w:val="130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I. 개요</w:t>
            </w:r>
          </w:p>
        </w:tc>
      </w:tr>
      <w:tr>
        <w:trPr>
          <w:trHeight w:hRule="atLeast" w:val="13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지원부문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 AX 부문</w:t>
            </w:r>
          </w:p>
        </w:tc>
      </w:tr>
      <w:tr>
        <w:trPr>
          <w:trHeight w:hRule="atLeast" w:val="380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팀/그룹</w:t>
            </w:r>
          </w:p>
        </w:tc>
        <w:tc>
          <w:tcPr>
            <w:tcW w:type="dxa" w:w="3263"/>
            <w:gridSpan w:val="2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제조기술센터 품질기술그룹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대표자</w:t>
            </w:r>
          </w:p>
        </w:tc>
        <w:tc>
          <w:tcPr>
            <w:tcW w:type="dxa" w:w="326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홍길동</w:t>
            </w:r>
          </w:p>
        </w:tc>
      </w:tr>
      <w:tr>
        <w:trPr>
          <w:trHeight w:hRule="atLeast" w:val="329"/>
        </w:trPr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제목</w:t>
            </w:r>
          </w:p>
        </w:tc>
        <w:tc>
          <w:tcPr>
            <w:tcW w:type="dxa" w:w="7796"/>
            <w:gridSpan w:val="4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완전한 품질 AI Agent Orchestration 구축 — 감지부터 판단·조치·자동조치까지 스스로 수행하는 살아있는 품질 관리 시스템</w:t>
            </w:r>
          </w:p>
        </w:tc>
      </w:tr>
      <w:tr>
        <w:trPr>
          <w:trHeight w:hRule="atLeast" w:val="329"/>
        </w:trPr>
        <w:tc>
          <w:tcPr>
            <w:tcW w:type="dxa" w:w="1270"/>
            <w:vMerge w:val="restart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분류</w:t>
            </w:r>
          </w:p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적용시점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2026-09-01 ~ 2028-08-31 (24개월) · 2개년 단계 과제 — 1차년 구축·검증 / 2차년 확산·자동화</w:t>
            </w:r>
          </w:p>
        </w:tc>
      </w:tr>
      <w:tr>
        <w:trPr>
          <w:trHeight w:hRule="atLeast" w:val="420"/>
        </w:trPr>
        <w:tc>
          <w:tcPr>
            <w:tcW w:type="dxa" w:w="1270"/>
            <w:vMerge/>
          </w:tcPr>
          <w:p/>
        </w:tc>
        <w:tc>
          <w:tcPr>
            <w:tcW w:type="dxa" w:w="1270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횡전개 범위</w:t>
            </w:r>
          </w:p>
        </w:tc>
        <w:tc>
          <w:tcPr>
            <w:tcW w:type="dxa" w:w="6526"/>
            <w:gridSpan w:val="3"/>
            <w:vAlign w:val="center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1차년 포토 1개 공정 → 2차년 etch·CMP 확산(3개 공정)에서 검증. 확산 완료 후 품질·공정 엔지니어 약 1,000명 · DRAM·NAND 전 제품군 전면 적용. 확산 표준안으로 타 조직 이관</w:t>
            </w:r>
          </w:p>
        </w:tc>
      </w:tr>
      <w:tr>
        <w:trPr>
          <w:trHeight w:hRule="atLeast" w:val="102"/>
        </w:trPr>
        <w:tc>
          <w:tcPr>
            <w:tcW w:type="dxa" w:w="9066"/>
            <w:gridSpan w:val="5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II. Process</w:t>
            </w:r>
          </w:p>
        </w:tc>
      </w:tr>
      <w:tr>
        <w:trPr>
          <w:trHeight w:hRule="atLeast" w:val="9581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문제 정의</w:t>
            </w:r>
          </w:p>
        </w:tc>
        <w:tc>
          <w:tcPr>
            <w:tcW w:type="dxa" w:w="7796"/>
            <w:gridSpan w:val="4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현행 업무 — 불량 하나를 판단하는 데 네 가지가 반복된다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불량 판단에는 SPC·wafer map·결함 이미지·Inform Note·MES·YMS 를 서로 다른 시스템에서 하나씩 열어 대조해야 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907"/>
              <w:gridCol w:w="6633"/>
            </w:tblGrid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시간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시스템을 오가며 손으로 대조하는 데 판정 시간의 대부분이 쓰인다. 판단 자체는 그 일부다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편차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무엇을 봤고 무엇을 안 봤는지가 사람마다 달라, 같은 현상에 다른 결론이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야간·주말은 다음 근무까지 밀린다. 그 사이 같은 원인의 불량이 계속 나온다</w:t>
                  </w:r>
                </w:p>
              </w:tc>
            </w:tr>
            <w:tr>
              <w:tc>
                <w:tcPr>
                  <w:tcW w:type="dxa" w:w="90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휘발</w:t>
                  </w:r>
                </w:p>
              </w:tc>
              <w:tc>
                <w:tcPr>
                  <w:tcW w:type="dxa" w:w="663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판단 근거가 사람 머릿속에 남는다. 담당자가 바뀌면 처음부터 다시 푼다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기존 대안으로는 해결되지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rPr>
                <w:trHeight w:hRule="atLeast" w:val="272"/>
              </w:trP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대안</w:t>
                  </w:r>
                </w:p>
              </w:tc>
              <w:tc>
                <w:tcPr>
                  <w:tcW w:type="dxa" w:w="5839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왜 부족한가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LLM API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사내 DB 조회도 이미지 판독도 못 한다. 우리 데이터로 정확해지는 경로가 없다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공용 RAG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용어 병기(ACI→세정 후 계측), 설비 ID 통짜 보호(PHO-D03), 형태소 색인, 메타 필터, recall 열람이 막혀 있다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BI·대시보드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볼 화면을 늘릴 뿐 판단을 대신하지 않는다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규칙 기반 SPC 알람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이상이다까지만 말한다. 왜 그런가·무엇을 해야 하나에는 답하지 않는다. 대체 대상이 아니라 트리거 입력으로 그대로 쓴다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현업 관점의 중요도 — 상시·대량 업무이고, 오판 비용이 크다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대상·부하 : 품질·공정 엔지니어 약 1,000명이 1인당 일 4시간, 근무 8시간의 절반을 이 업무에 쓴다. 이 4시간을 2시간으로 줄이는 것이 경영효과 산정의 기준선이다.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오판 비용 : 진성을 놓치면 유출·클레임, 가성을 Hold 하면 라인 정지와 Lot 대기. 판정 1건이 수율과 TAT 에 직접 연결된다.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지금 시작해야 하는 이유</w:t>
            </w:r>
          </w:p>
          <w:p>
            <w:pPr>
              <w:spacing w:before="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판정 이력과 Inform Note 가 학습 자산으로 쓸 만한 양에 도달했다. 오픈 LLM 도 사내 온프렘에서 돌릴 수준까지 왔고, 설계와 검증 체계는 이미 서 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49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Process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재설계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대상 E2E Process — 코어는 하나, 입구는 둘</w:t>
            </w:r>
          </w:p>
          <w:p>
            <w:pPr>
              <w:spacing w:before="0" w:after="8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아래는 예시 한 건이다 — PHO-D03 CD 급등.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3770"/>
              <w:gridCol w:w="3770"/>
            </w:tblGrid>
            <w:tr>
              <w:trPr>
                <w:trHeight w:hRule="atLeast" w:val="272"/>
              </w:trPr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① Chat — 엔지니어 질문</w:t>
                  </w:r>
                </w:p>
              </w:tc>
              <w:tc>
                <w:tcPr>
                  <w:tcW w:type="dxa" w:w="3770"/>
                  <w:shd w:val="clear" w:color="auto" w:fill="E8EEF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입구 ② 무인 감지 — 스스로 기동</w:t>
                  </w:r>
                </w:p>
              </w:tc>
            </w:tr>
          </w:tbl>
          <w:p/>
          <w:p>
            <w:pPr>
              <w:spacing w:before="40" w:after="4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▼  조사 코어 (LangGraph) — 마스터 Agent 가 하위 Agent·도구를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173"/>
              <w:gridCol w:w="1672"/>
              <w:gridCol w:w="1173"/>
              <w:gridCol w:w="1173"/>
              <w:gridCol w:w="1173"/>
              <w:gridCol w:w="1173"/>
            </w:tblGrid>
            <w:tr>
              <w:trPr>
                <w:trHeight w:hRule="atLeast" w:val="408"/>
              </w:trPr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adapter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증상 분류</w:t>
                  </w:r>
                </w:p>
              </w:tc>
              <w:tc>
                <w:tcPr>
                  <w:tcW w:type="dxa" w:w="1672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investigator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도구 호출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judgment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검증 5칙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action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등급 승인</w:t>
                  </w:r>
                </w:p>
              </w:tc>
              <w:tc>
                <w:tcPr>
                  <w:tcW w:type="dxa" w:w="1174"/>
                  <w:vAlign w:val="center"/>
                  <w:shd w:val="clear" w:color="auto" w:fill="FBE4E4"/>
                  <w:tcBorders>
                    <w:top w:val="single" w:sz="12" w:space="0" w:color="C00000"/>
                    <w:left w:val="single" w:sz="12" w:space="0" w:color="C00000"/>
                    <w:bottom w:val="single" w:sz="12" w:space="0" w:color="C00000"/>
                    <w:right w:val="single" w:sz="12" w:space="0" w:color="C00000"/>
                  </w:tcBorders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answer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인용</w:t>
                  </w:r>
                </w:p>
              </w:tc>
              <w:tc>
                <w:tcPr>
                  <w:tcW w:type="dxa" w:w="11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register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검색 자산</w:t>
                  </w:r>
                </w:p>
              </w:tc>
            </w:tr>
          </w:tbl>
          <w:p/>
          <w:p>
            <w:pPr>
              <w:spacing w:before="60" w:after="100" w:line="240" w:lineRule="auto"/>
              <w:jc w:val="left"/>
            </w:pPr>
            <w:r>
              <w:rPr>
                <w:rFonts w:ascii="바탕체" w:hAnsi="바탕체" w:eastAsia="바탕체" w:cs="바탕체"/>
                <w:b w:val="0"/>
                <w:color w:val="C00000"/>
                <w:sz w:val="20"/>
                <w:u w:val="none"/>
              </w:rPr>
              <w:t>※ 붉은 칸 = 사람 일을 Agent 가 대체한 구간. register 확정분은 다음 사건의 검색 근거로 되돌아간다 (← 선순환).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077"/>
              <w:gridCol w:w="2777"/>
              <w:gridCol w:w="3685"/>
            </w:tblGrid>
            <w:tr>
              <w:trPr>
                <w:trHeight w:hRule="atLeast" w:val="272"/>
              </w:trPr>
              <w:tc>
                <w:tcPr>
                  <w:tcW w:type="dxa" w:w="107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77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AS-IS — 엔지니어 수작업</w:t>
                  </w:r>
                </w:p>
              </w:tc>
              <w:tc>
                <w:tcPr>
                  <w:tcW w:type="dxa" w:w="368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TO-BE — Agent 가 대체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①트렌드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 화면에서 lot·chamber 조회 (수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Trend Agent 가 02:14 CD +0.8nm 변화점 검출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②Map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Failbit Map 분포를 눈으로 확인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Image Agent 가 edge 국부 집중·Focus 편차형 판독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③사례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이미지·Note 를 뒤져 눈으로 대조 (반나절)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이미지 유사도로 사고를 좁히고 메타 키로 원인·조치 인용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④이력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MES·SPC 에서 PM·변경점 이력 조회 (수십 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PM 직후 Focus 재보정 누락을 조회 도구가 찾아냄 (수 초)</w:t>
                  </w:r>
                </w:p>
              </w:tc>
            </w:tr>
            <w:tr>
              <w:tc>
                <w:tcPr>
                  <w:tcW w:type="dxa" w:w="107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⑤조치</w:t>
                  </w:r>
                </w:p>
              </w:tc>
              <w:tc>
                <w:tcPr>
                  <w:tcW w:type="dxa" w:w="277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보고서 작성, 회의 소집, 품의·결재 (수 시간)</w:t>
                  </w:r>
                </w:p>
              </w:tc>
              <w:tc>
                <w:tcPr>
                  <w:tcW w:type="dxa" w:w="3685"/>
                  <w:shd w:val="clear" w:color="auto" w:fill="FBE4E4"/>
                  <w:tcBorders>
                    <w:top w:val="single" w:sz="8" w:space="0" w:color="C00000"/>
                    <w:bottom w:val="single" w:sz="8" w:space="0" w:color="C00000"/>
                  </w:tcBorders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근거 3종 인용 보고서·조치안 생성 (수 초). 실행은 승인 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조치는 다섯 단계로 올라간다 — 마지막 단계가 자동조치다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2891"/>
              <w:gridCol w:w="1587"/>
              <w:gridCol w:w="1587"/>
            </w:tblGrid>
            <w:tr>
              <w:trPr>
                <w:trHeight w:hRule="atLeast" w:val="272"/>
              </w:trP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단계</w:t>
                  </w:r>
                </w:p>
              </w:tc>
              <w:tc>
                <w:tcPr>
                  <w:tcW w:type="dxa" w:w="289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하는 일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1차년</w:t>
                  </w:r>
                </w:p>
              </w:tc>
              <w:tc>
                <w:tcPr>
                  <w:tcW w:type="dxa" w:w="158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2차년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① 알림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이상 알림만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② 공유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불량 유형 소견을 함께 통보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③ 권고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노광계 우선 점검 권고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즉시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④ Hold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해당 lot Hold·점검 요청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승인 후 실행</w:t>
                  </w:r>
                </w:p>
              </w:tc>
            </w:tr>
            <w:tr>
              <w:tc>
                <w:tcPr>
                  <w:tcW w:type="dxa" w:w="1474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⑤ 자동조치</w:t>
                  </w:r>
                </w:p>
              </w:tc>
              <w:tc>
                <w:tcPr>
                  <w:tcW w:type="dxa" w:w="2891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인터락·조치 코드 발행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열지 않음</w:t>
                  </w:r>
                </w:p>
              </w:tc>
              <w:tc>
                <w:tcPr>
                  <w:tcW w:type="dxa" w:w="1587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승격 후 개방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단일 기능 개선이 아니다 — 시작·중간·끝을 모두 바꿨다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시작 : 인지하던 트리거를 무인 접수로 바꿨다. 출발점이 사람이 아니다.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중간 : 시스템 순회라는 노동이 사라졌다. 화면 여는 일 자체를 없앴다.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끝 : 근거·모델 버전이 붙은 이력이 남아 다음 사건의 검색 자산이 된다.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현업 활용과 확산 — 현업 노하우가 등록되어야 자라는 구조다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운영 : 그림자 운영 → Chat 파일럿 → 무인 접수 → 3개 공정 정상 운영.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접점 : 엔지니어 입구는 Chat 이다. 알림과 승인은 사내 메신저·메일로 받는다. 기간계는 조회 전용으로 연결한다.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파일럿 : 3Q 에 포토 공정 엔지니어가 Chat 으로 직접 쓴다. 실사용·반려율·재사용률을 측정한다.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확산 : 5Q etch · 6Q CMP · 8Q 확산 표준안. 통과 조건은 코어 변경 0. 공정마다 조사규칙 문서만 추가하면 타 조직이 받아 쓴다.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왜 이 순서인가 : 신뢰가 없으면 안 쓴다 → 그림자부터. 조치 사고가 가장 무섭다 → 권한은 위험도 순. 등록이 멈추면 죽는다 → 등록은 처음부터.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현업 몫 : 조사규칙 작성, 조치 승인·반려, Inform Note·골든셋 확정.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40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III. Tech</w:t>
            </w:r>
          </w:p>
        </w:tc>
      </w:tr>
      <w:tr>
        <w:trPr>
          <w:trHeight w:hRule="atLeast" w:val="13153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1. 왜 AI Agent Orchestration 이어야 하는가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조사 순서를 미리 정할 수 없다 : 무엇을 다음에 볼지가 사안마다 다르다. 규칙으로 쓰면 분기가 폭발하고 새 공정마다 발산한다. 결과를 보고 다음을 정하는 구조라야 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한 사안에 이종 모달이 섞인다 : 시계열·이미지·문서·정형 DB 를 함께 봐야 한다. 단일 모델로 안 되니 전문 Agent 를 나눠 오케스트레이션한다.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정답이 라벨이 아니라 근거를 갖춘 설명이다 : 분류 모델은 Hold 냐 Release 냐를 찍을 뿐 왜 그런지를 원문 인용과 함께 내지 못한다. 품질 판정은 결론보다 근거가 감사 대상이다.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임계 기반으로는 안 걸린다 : 룰은 값이 넘어야 울린다. 임계 아래로 완만히 흐르는 shift 는 못 잡는다.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2. 오케스트레이션 구성 — 마스터 Agent 가 전문 Agent 와 사내 시스템을 부린다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17"/>
              <w:gridCol w:w="6122"/>
            </w:tblGrid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마스터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증상을 분류해 조사를 설계하고 하위 Agent·도구를 스스로 골라 반복 호출한다. 더 부를 것이 없으면 조사를 끝낸다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계측·FDC 시계열을 상시 감시해 변화 시점과 변화량을 수치로 특정하고, 그 자리에서 조사를 자동 기동한다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Image Agent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wafer map 패턴 분류와 결함 이미지 판독. 이미지 저장소에서 임베딩 유사도로 닮은 과거 불량을 좁힌 뒤, 그 메타데이터·파일 경로를 키로 삼아 해당 사고의 원인·조치를 RDB 에서 정확히 끌어온다. 유사도로 좁히고 키로 확정한다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Agentic RAG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엔지니어 Inform 이력과 사내 지식 문서를 찾는다. 질의를 다시 쓰고 하이브리드 검색·리랭크로 추리며 부족하면 재검색한다. 문서만 보지 않고 사고 리스트·원인·조치 RDB 메타데이터까지 함께 조회해 한 근거팩으로 묶는다</w:t>
                  </w:r>
                </w:p>
              </w:tc>
            </w:tr>
            <w:tr>
              <w:tc>
                <w:tcPr>
                  <w:tcW w:type="dxa" w:w="141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사내 시스템</w:t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br/>
                  </w: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Tool</w:t>
                  </w:r>
                </w:p>
              </w:tc>
              <w:tc>
                <w:tcPr>
                  <w:tcW w:type="dxa" w:w="612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SPC·MES·YMS·EES·QMS 를 조회 전용으로 호출한다. 트렌드, 불량 lot 의 공통 설비·챔버 추출, 기준정보, 인터록 이력, 가드된 비정형 조회</w:t>
                  </w:r>
                </w:p>
              </w:tc>
            </w:tr>
          </w:tbl>
          <w:p/>
          <w:p>
            <w:pPr>
              <w:spacing w:before="4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위 Agentic RAG 와 Image Agent 는 계획이 아니다. 질의 재작성, 하이브리드 검색, 리랭커, 재검색, 유사 검색이 선행 프로토타입에서 이미 돈다.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3. 도구 구성의 근거 — 하나씩 붙여 답이 어떻게 달라지는지 비교했다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왜 이렇게 나눴는지는 하나씩 붙여 보면 드러난다. 앞의 예시 질문 한 건에 대한 답을 비교했다.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955"/>
              <w:gridCol w:w="5584"/>
            </w:tblGrid>
            <w:tr>
              <w:trPr>
                <w:trHeight w:hRule="atLeast" w:val="272"/>
              </w:trP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붙인 도구</w:t>
                  </w:r>
                </w:p>
              </w:tc>
              <w:tc>
                <w:tcPr>
                  <w:tcW w:type="dxa" w:w="558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같은 질문에 대한 답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기본 LLM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02시부터 CD 가 급등했습니다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Trend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02:14 부터 CD +0.8nm — 시점과 변화량이 수치로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Image Agent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Map 상 edge 국부 집중 — Focus 편차형이 의심됩니다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유사사례 검색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과거 PHO-D01 과 같은 패턴, 당시 원인은 Scanner Focus 드리프트였습니다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설비 이력 조회</w:t>
                  </w:r>
                </w:p>
              </w:tc>
              <w:tc>
                <w:tcPr>
                  <w:tcW w:type="dxa" w:w="558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7/26 Scanner PM 직후 Focus 재보정 누락 확인 — 원인이 특정됩니다</w:t>
                  </w:r>
                </w:p>
              </w:tc>
            </w:tr>
            <w:tr>
              <w:tc>
                <w:tcPr>
                  <w:tcW w:type="dxa" w:w="1956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+ 조치 생성</w:t>
                  </w:r>
                </w:p>
              </w:tc>
              <w:tc>
                <w:tcPr>
                  <w:tcW w:type="dxa" w:w="5584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원인은 PM 후 재보정 누락. 근거 3종을 인용해 진행 금지·조치 코드·보고서까지 제안</w:t>
                  </w:r>
                </w:p>
              </w:tc>
            </w:tr>
          </w:tbl>
          <w:p/>
          <w:p>
            <w:pPr>
              <w:spacing w:before="6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도구를 하나 빼면 답이 어느 단계로 후퇴하는지가 그대로 보인다.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13550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기술적</w:t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br/>
            </w: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해결 방안</w:t>
            </w:r>
          </w:p>
        </w:tc>
        <w:tc>
          <w:tcPr>
            <w:tcW w:type="dxa" w:w="7795"/>
            <w:vAlign w:val="top"/>
          </w:tcPr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4. 알고리즘 선택 근거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2267"/>
              <w:gridCol w:w="4025"/>
            </w:tblGrid>
            <w:tr>
              <w:trPr>
                <w:trHeight w:hRule="atLeast" w:val="272"/>
              </w:trPr>
              <w:tc>
                <w:tcPr>
                  <w:tcW w:type="dxa" w:w="1247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과제</w:t>
                  </w:r>
                </w:p>
              </w:tc>
              <w:tc>
                <w:tcPr>
                  <w:tcW w:type="dxa" w:w="226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</w:t>
                  </w:r>
                </w:p>
              </w:tc>
              <w:tc>
                <w:tcPr>
                  <w:tcW w:type="dxa" w:w="4025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선택 근거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판단·조율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GLM-5.2 743B-A39B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 호출 안정성과 장문 근거 종합이 함께 필요하다. 판단과 도구 호출을 한 모델에 묶는다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조사 제어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ReAct 루프 (LangGraph)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호출 순서를 미리 정하지 않는다. 결과를 보고 다음 도구를 정한다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Trend 이상탐지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PatchTST + CUSUM/BOCPD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LSTM·Prophet 으로는 변화 시점을 못 찍는다. 변화점은 코드가 찍고 LLM 은 연결만 한다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Map·불량 분류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ConvNeXt V2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기지 불량은 라벨이 있다. 분류 모델이 가장 싸고 정확하다. VLM 은 낭비다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미지 불량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PatchCore + WRN-50-2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라벨이 없는 새 불량은 분류 모델이 못 잡는다. 정상 특징과의 거리로 잡는다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문서·사례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 Embedding·Reranker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임베딩만으로는 설비 ID 정확 일치를 놓친다. 의미 검색에 BM25 를 함께 쓴다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이미지 유사 검색</w:t>
                  </w:r>
                </w:p>
              </w:tc>
              <w:tc>
                <w:tcPr>
                  <w:tcW w:type="dxa" w:w="226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Qwen3-VL-Embedding</w:t>
                  </w:r>
                </w:p>
              </w:tc>
              <w:tc>
                <w:tcPr>
                  <w:tcW w:type="dxa" w:w="4025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닮은 정도는 텍스트로 옮기면 잃는다. 유사도로 좁히고 메타 키로 확정한다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5. 그럴듯한 오답이 채택되지 않게 — 코드가 검사한다</w:t>
            </w:r>
          </w:p>
          <w:p>
            <w:pPr>
              <w:spacing w:before="0" w:after="6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그럴듯한 오답은 무응답보다 위험하다. 판단서 근거 인용을 코드가 검사한다.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474"/>
              <w:gridCol w:w="6066"/>
            </w:tblGrid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스키마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정해진 형식이 아니면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근거 실재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존재하지 않는 증거를 인용하면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사실 대조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도구가 돌려준 원문에 없는 수치를 쓰면 거부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신뢰도 규칙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High 를 주장하려면 근거 3개 이상, 반증 0</w:t>
                  </w:r>
                </w:p>
              </w:tc>
            </w:tr>
            <w:tr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공백 금지</w:t>
                  </w:r>
                </w:p>
              </w:tc>
              <w:tc>
                <w:tcPr>
                  <w:tcW w:type="dxa" w:w="6066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가설이 없으면 무엇이 부족한지 명시하게 강제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6. 성능 지표와 배포 게이트</w:t>
            </w:r>
          </w:p>
          <w:p>
            <w:pPr>
              <w:shd w:val="clear" w:color="auto" w:fill="F2F2F2"/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- 실측치 : 검색 </w:t>
            </w: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recall@10 = 0.500</w:t>
            </w: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 xml:space="preserve"> (골든 4건 / 색인 50건 · 질의 재작성·리랭커 미적용 기준값). 적용 후 재측정해 상향한다.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- 0건으로 관리한다 : 근거 없는 판단 채택, 미승인 L2 조치 실행, 무인 접수 이벤트 누락. 검증기 차단 로그와 감사 로그로 센다.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판정 정답률 : 그림자 운영에서 기준선을 실측한 뒤 목표치를 확정한다. 임의의 퍼센트를 지금 적지 않는다.</w:t>
            </w:r>
          </w:p>
          <w:p>
            <w:pPr>
              <w:spacing w:before="0" w:after="6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고정 지표·배포 게이트 : 골든셋 일치율·recall@10·건당 처리 시간·조치 반려율. 무엇을 바꾸든 회귀 러너를 돌리고 하락하면 배포하지 않는다.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7. 알고리즘 개선을 위해 수행한 과정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환각 발생원 제거 : 통계·공통성 분석·map 분류·SQL 을 코드로 옮기고 LLM 에는 결과만 넘겼다. 검증기 3종 차단을 재현 테스트로 확인했다.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검색 3층 분기·용어 병기 : 원문·확장문 임베딩·형태소 색인어를 독립으로 만들었다. 병기는 그 용어가 나온 문서에만 적용했다 — 전 문서에 도장을 찍으면 IDF 가 무너진다.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색인·하이브리드 : 설비 ID 를 통짜로 보호하고 적재와 질의에 같은 함수를 강제했다. 후보 200건을 20건까지 좁힌다.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학습·확인 : 피드백을 월 4회 반영하고 회귀를 통과한 것만 배포한다. 개선마다 골든셋 러너로 전후를 비교했고, 러너가 실제 회귀를 검출하는 동작까지 확인했다.</w:t>
            </w:r>
          </w:p>
        </w:tc>
      </w:tr>
    </w:tbl>
    <w:p>
      <w:pPr>
        <w:pageBreakBefore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tbl>
      <w:tblPr>
        <w:tblStyle w:val="TableGrid"/>
        <w:tblW w:type="dxa" w:w="9065"/>
        <w:tblLayout w:type="fixed"/>
        <w:tblLook w:firstColumn="1" w:firstRow="1" w:lastColumn="0" w:lastRow="0" w:noHBand="0" w:noVBand="1" w:val="04A0"/>
      </w:tblPr>
      <w:tblGrid>
        <w:gridCol w:w="1269"/>
        <w:gridCol w:w="7795"/>
      </w:tblGrid>
      <w:tr>
        <w:trPr>
          <w:trHeight w:hRule="atLeast" w:val="397"/>
        </w:trPr>
        <w:tc>
          <w:tcPr>
            <w:tcW w:type="dxa" w:w="9065"/>
            <w:gridSpan w:val="2"/>
            <w:vAlign w:val="center"/>
            <w:shd w:val="clear" w:color="auto" w:fill="F2F2F2"/>
          </w:tcPr>
          <w:p>
            <w:pPr>
              <w:spacing w:before="0" w:after="0" w:line="240" w:lineRule="auto"/>
            </w:pPr>
            <w:r>
              <w:rPr>
                <w:rFonts w:ascii="바탕체" w:hAnsi="바탕체" w:eastAsia="바탕체" w:cs="바탕체"/>
                <w:b/>
                <w:sz w:val="24"/>
                <w:u w:val="none"/>
              </w:rPr>
              <w:t>IIII. 경영효과</w:t>
            </w:r>
          </w:p>
        </w:tc>
      </w:tr>
      <w:tr>
        <w:trPr>
          <w:trHeight w:hRule="atLeast" w:val="13096"/>
        </w:trPr>
        <w:tc>
          <w:tcPr>
            <w:tcW w:type="dxa" w:w="1270"/>
            <w:vAlign w:val="top"/>
          </w:tcPr>
          <w:p>
            <w:pPr>
              <w:spacing w:before="0" w:after="0" w:line="240" w:lineRule="auto"/>
              <w:jc w:val="center"/>
            </w:pPr>
            <w:r>
              <w:rPr>
                <w:rFonts w:ascii="바탕체" w:hAnsi="바탕체" w:eastAsia="바탕체" w:cs="바탕체"/>
                <w:b/>
                <w:sz w:val="22"/>
                <w:u w:val="none"/>
              </w:rPr>
              <w:t>예상 성과</w:t>
            </w:r>
          </w:p>
        </w:tc>
        <w:tc>
          <w:tcPr>
            <w:tcW w:type="dxa" w:w="7795"/>
            <w:vAlign w:val="top"/>
          </w:tcPr>
          <w:p>
            <w:pPr>
              <w:spacing w:before="0" w:after="8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2개년 단계 과제다. 아래는 산출식이 명시된 예상 성과이며, 1차년 포토 1개 공정 구간은 전면 산정에서 빼고 실측 구간으로 둔다.</w:t>
            </w:r>
          </w:p>
          <w:p>
            <w:pPr>
              <w:spacing w:before="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유형 효과 (정량)</w:t>
            </w:r>
          </w:p>
          <w:p>
            <w:pPr>
              <w:spacing w:before="0" w:after="4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[ 4h/8h − 2h/8h ] × 연봉 80,000,000원 × 1,000명 = 연 200억 원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700"/>
              <w:gridCol w:w="5839"/>
            </w:tblGrid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200억 원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3개 공정 확산 후 1,000명 전면 적용 전제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투자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347,794,165원(사내 과금). 2개년 총투자 695,588,330원</w:t>
                  </w:r>
                </w:p>
              </w:tc>
            </w:tr>
            <w:tr>
              <w:tc>
                <w:tcPr>
                  <w:tcW w:type="dxa" w:w="170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  <w:tc>
                <w:tcPr>
                  <w:tcW w:type="dxa" w:w="5839"/>
                  <w:shd w:val="clear" w:color="auto" w:fill="F2F2F2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약 57.5배</w:t>
                  </w: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 xml:space="preserve"> — 회수 약 6.3일 / 총투자 기준 12.7일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기준선 실측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포토 공정에서 건당 처리 시간 로그로 실측을 개시한다</w:t>
                  </w:r>
                </w:p>
              </w:tc>
            </w:tr>
            <w:tr>
              <w:tc>
                <w:tcPr>
                  <w:tcW w:type="dxa" w:w="170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확산 비용</w:t>
                  </w:r>
                </w:p>
              </w:tc>
              <w:tc>
                <w:tcPr>
                  <w:tcW w:type="dxa" w:w="583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공정이 3개로 늘어도 추가 자원을 요청하지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민감도 — 목표를 절반만 달성해도 남는다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1474"/>
              <w:gridCol w:w="1927"/>
              <w:gridCol w:w="2097"/>
            </w:tblGrid>
            <w:tr>
              <w:trPr>
                <w:trHeight w:hRule="atLeast" w:val="272"/>
              </w:trPr>
              <w:tc>
                <w:tcPr>
                  <w:tcW w:type="dxa" w:w="2041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목표 판정 시간</w:t>
                  </w:r>
                </w:p>
              </w:tc>
              <w:tc>
                <w:tcPr>
                  <w:tcW w:type="dxa" w:w="1474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절감 비율</w:t>
                  </w:r>
                </w:p>
              </w:tc>
              <w:tc>
                <w:tcPr>
                  <w:tcW w:type="dxa" w:w="192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기대효과</w:t>
                  </w:r>
                </w:p>
              </w:tc>
              <w:tc>
                <w:tcPr>
                  <w:tcW w:type="dxa" w:w="2098"/>
                  <w:vAlign w:val="center"/>
                  <w:shd w:val="clear" w:color="auto" w:fill="F2F2F2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연간 ROI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2.0시간 (기준)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25.0%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57.5배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18.8%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43.1배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3.0시간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12.5%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100억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28.8배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3.5시간</w:t>
                  </w:r>
                </w:p>
              </w:tc>
              <w:tc>
                <w:tcPr>
                  <w:tcW w:type="dxa" w:w="1474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6.3%</w:t>
                  </w:r>
                </w:p>
              </w:tc>
              <w:tc>
                <w:tcPr>
                  <w:tcW w:type="dxa" w:w="192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50억</w:t>
                  </w:r>
                </w:p>
              </w:tc>
              <w:tc>
                <w:tcPr>
                  <w:tcW w:type="dxa" w:w="2098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14.4배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하루 4시간에서 3.5시간, 30분만 줄여도 ROI 14배다.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무형 효과 (정성)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2040"/>
              <w:gridCol w:w="5499"/>
            </w:tblGrid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24시간 공백 소멸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야간·주말에 생긴 이상도 그 자리에서 조사된다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판단 편차 축소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같은 현상에 같은 조사 경로가 적용된다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감사 대응력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판정마다 근거 원문·신뢰도·모델 버전이 남는다</w:t>
                  </w:r>
                </w:p>
              </w:tc>
            </w:tr>
            <w:tr>
              <w:tc>
                <w:tcPr>
                  <w:tcW w:type="dxa" w:w="2041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노하우 자산화</w:t>
                  </w:r>
                </w:p>
              </w:tc>
              <w:tc>
                <w:tcPr>
                  <w:tcW w:type="dxa" w:w="5499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조사규칙·Inform Note 로 남아 사람에 묶이지 않는다</w:t>
                  </w:r>
                </w:p>
              </w:tc>
            </w:tr>
          </w:tbl>
          <w:p/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선행 추진 실적 — 백지에서 시작하지 않는다</w:t>
            </w:r>
          </w:p>
          <w:tbl>
            <w:tblPr>
              <w:tblStyle w:val="TableGrid"/>
              <w:tblW w:type="dxa" w:w="7540"/>
              <w:tblLayout w:type="fixed"/>
              <w:tblLook w:firstColumn="1" w:firstRow="1" w:lastColumn="0" w:lastRow="0" w:noHBand="0" w:noVBand="1" w:val="04A0"/>
            </w:tblPr>
            <w:tblGrid>
              <w:gridCol w:w="1247"/>
              <w:gridCol w:w="6292"/>
            </w:tblGrid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설계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시스템설계서·구축 로드맵·Tool 카탈로그·그라운딩 설계·조사규칙 5종 등 31종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구현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LangGraph 조사 코어 스켈레톤 실행 확인, 검증기 5칙 구현, prod 백엔드 4종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평가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골든 시나리오 4건·회귀 러너 구축, 회귀 검출 동작 확인. 검색 recall@10 = 0.500 실측. 조회 가드·평가 파이프라인 확인</w:t>
                  </w:r>
                </w:p>
              </w:tc>
            </w:tr>
            <w:tr>
              <w:tc>
                <w:tcPr>
                  <w:tcW w:type="dxa" w:w="1247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바탕체" w:hAnsi="바탕체" w:eastAsia="바탕체" w:cs="바탕체"/>
                      <w:b/>
                      <w:sz w:val="20"/>
                      <w:u w:val="none"/>
                    </w:rPr>
                    <w:t>선행 프로토타입</w:t>
                  </w:r>
                </w:p>
              </w:tc>
              <w:tc>
                <w:tcPr>
                  <w:tcW w:type="dxa" w:w="6293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바탕체" w:hAnsi="바탕체" w:eastAsia="바탕체" w:cs="바탕체"/>
                      <w:b w:val="0"/>
                      <w:sz w:val="20"/>
                      <w:u w:val="none"/>
                    </w:rPr>
                    <w:t>agentic RAG 전 요소(질의 재작성·하이브리드·리랭커·재검색 루프·인용 강제)와 이미지 유사 검색·메타 키 조회가 선행 프로토타입에서 이미 동작한다. 검색기는 Qwen3 계열로 교체한다</w:t>
                  </w:r>
                </w:p>
              </w:tc>
            </w:tr>
          </w:tbl>
          <w:p/>
          <w:p>
            <w:pPr>
              <w:spacing w:before="40" w:after="0" w:line="240" w:lineRule="auto"/>
              <w:ind w:left="227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설계·스켈레톤·평가 위에 실데이터·실도구를 연결해 확산하는 단계다.</w:t>
            </w:r>
          </w:p>
          <w:p>
            <w:pPr>
              <w:spacing w:before="120" w:after="40" w:line="240" w:lineRule="auto"/>
            </w:pPr>
            <w:r>
              <w:rPr>
                <w:rFonts w:ascii="바탕체" w:hAnsi="바탕체" w:eastAsia="바탕체" w:cs="바탕체"/>
                <w:b/>
                <w:sz w:val="20"/>
                <w:u w:val="none"/>
              </w:rPr>
              <w:t>검증 방법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- 2Q 그림자 운영에서 판단 일치율 기준선을 실측한다. 조치는 실행하지 않는다.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가동 후 건당 처리 시간·이벤트 누락·조치 승인율을 로그로 실측해 분기마다 보고한다.</w:t>
            </w:r>
          </w:p>
          <w:p>
            <w:pPr>
              <w:spacing w:before="0" w:after="40" w:line="240" w:lineRule="auto"/>
              <w:ind w:left="425" w:hanging="198"/>
            </w:pPr>
            <w:r>
              <w:rPr>
                <w:rFonts w:ascii="바탕체" w:hAnsi="바탕체" w:eastAsia="바탕체" w:cs="바탕체"/>
                <w:b w:val="0"/>
                <w:sz w:val="20"/>
                <w:u w:val="none"/>
              </w:rPr>
              <w:t>- 자동조치를 연 뒤에는 실행 로그를 전건 감사하고 오판율을 측정해 공개한다.</w:t>
            </w:r>
          </w:p>
        </w:tc>
      </w:tr>
    </w:tbl>
    <w:p>
      <w:pPr>
        <w:pageBreakBefore w:val="0"/>
        <w:spacing w:before="0" w:after="0" w:lineRule="exact" w:line="20"/>
        <w:rPr>
          <w:sz w:val="2"/>
          <w:szCs w:val="2"/>
        </w:rPr>
      </w:pPr>
      <w:r>
        <w:rPr>
          <w:rFonts w:ascii="바탕체" w:hAnsi="바탕체" w:eastAsia="바탕체" w:cs="바탕체"/>
          <w:b w:val="0"/>
          <w:sz w:val="2"/>
          <w:u w:val="none"/>
        </w:rPr>
      </w:r>
    </w:p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 w:eastAsia="바탕체" w:cs="바탕체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