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공정)에서 검증.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 — 화면 조회 수 분, Map 확인 수십 분, 사례 대조 반나절, 이력 조회 수십 분, 보고·결재 수 시간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남아 담당자가 바뀌면 처음부터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 이 4시간을 2시간으로 줄이는 것이 경영효과 산정의 기준선이다.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승인(사람)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칸이 아래 표의 업무 5단계를 대신한다. 조치 승인과 등록 확정은 사람 몫이며, 확정분은 다음 사건의 검색 근거로 돌아간다 (← 선순환).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되돌릴 수 있는 저위험 조치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설비 제어성 조치는 2차년에도 사람 승인 대상이다.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접점 : 입구는 Chat, 알림·승인은 사내 메신저·메일로 받는다.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3Q 에 포토 공정 엔지니어가 Chat 으로 직접 쓴다.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왜 이 순서인가 : 신뢰부터 → 위험도 순 권한 → 등록은 처음부터.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확정.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513"/>
              <w:gridCol w:w="2513"/>
              <w:gridCol w:w="2513"/>
            </w:tblGrid>
            <w:tr>
              <w:trPr>
                <w:trHeight w:hRule="atLeast" w:val="272"/>
              </w:trPr>
              <w:tc>
                <w:tcPr>
                  <w:tcW w:type="dxa" w:w="2513"/>
                  <w:shd w:val="clear" w:color="auto" w:fill="F2F2F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5Q etch 확산</w:t>
                  </w:r>
                </w:p>
              </w:tc>
              <w:tc>
                <w:tcPr>
                  <w:tcW w:type="dxa" w:w="2513"/>
                  <w:shd w:val="clear" w:color="auto" w:fill="F2F2F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6Q CMP 확산</w:t>
                  </w:r>
                </w:p>
              </w:tc>
              <w:tc>
                <w:tcPr>
                  <w:tcW w:type="dxa" w:w="2513"/>
                  <w:shd w:val="clear" w:color="auto" w:fill="F2F2F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8Q 확산 표준안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공정별 조사규칙 템플릿 + 골든셋 구축 절차. 통과 조건은 코어 변경 0. 공정이 늘어도 추가 자원을 요청하지 않는다.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유사도로 좁히고 키로 확정한다.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끌어온다</w:t>
                  </w:r>
                </w:p>
              </w:tc>
            </w:tr>
            <w:tr>
              <w:tc>
                <w:tcPr>
                  <w:tcW w:type="dxa" w:w="141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 xml:space="preserve">정형 RDB 와 비정형 문서를 한 근거팩으로 묶는다. 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사고 리스트·원인·조치 RDB 메타데이터까지 함께 조회한다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코어 하나·입구 둘 / 조사는 ReAct 루프 /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쓰고, 결합 가중치는 실측으로 정했다. 리랭커는 기본 적용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질의 재작성·리랭커를 적용한 뒤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347,794,165원(사내 과금).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공정에서 건당 처리 시간 로그로 실측을 개시한다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 — 접수 로그 대조로 확인한다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 — 골든셋 일치율로 확인한다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 — 감사 로그 전건 리뷰로 확인한다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 — 등록 건수 누적으로 본다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bge-m3 기준 hit@1 0.957 실측(하드셋 38질의). 본 과제 검색기는 Qwen3 계열로 교체한다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