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일반 토크나이저는 설비 PHOD03 을 PHO/D/03 으로, recipe PH_CD_A01-3 을 구분자마다 조각낸다. 쪼개지는 순간 그 문서는 검색에서 사라진다. EQP·STEP·recipe·계측 항목·불량 유형을 사전에 등록해 통짜로 지키고, 적재와 질의에 같은 함수를 강제했다.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ACI 를 세정 후 계측으로 병기하되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좁힌다. 벡터와 BM25 의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