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바탕체" w:hAnsi="바탕체" w:eastAsia="바탕체" w:cs="바탕체"/>
          <w:b/>
          <w:sz w:val="44"/>
          <w:u w:val="single"/>
        </w:rPr>
        <w:t>AX Award 지원서</w:t>
      </w:r>
    </w:p>
    <w:tbl>
      <w:tblPr>
        <w:tblStyle w:val="TableGrid"/>
        <w:tblW w:type="dxa" w:w="9065"/>
        <w:tblLayout w:type="fixed"/>
        <w:tblLook w:firstColumn="1" w:firstRow="1" w:lastColumn="0" w:lastRow="0" w:noHBand="0" w:noVBand="1" w:val="04A0"/>
      </w:tblPr>
      <w:tblGrid>
        <w:gridCol w:w="1269"/>
        <w:gridCol w:w="1269"/>
        <w:gridCol w:w="1992"/>
        <w:gridCol w:w="1269"/>
        <w:gridCol w:w="3262"/>
      </w:tblGrid>
      <w:tr>
        <w:trPr>
          <w:trHeight w:hRule="atLeast" w:val="130"/>
        </w:trPr>
        <w:tc>
          <w:tcPr>
            <w:tcW w:type="dxa" w:w="9066"/>
            <w:gridSpan w:val="5"/>
            <w:vAlign w:val="center"/>
            <w:shd w:val="clear" w:color="auto" w:fill="F2F2F2"/>
          </w:tcPr>
          <w:p>
            <w:pPr>
              <w:spacing w:before="0" w:after="0" w:line="240" w:lineRule="auto"/>
            </w:pPr>
            <w:r>
              <w:rPr>
                <w:rFonts w:ascii="바탕체" w:hAnsi="바탕체" w:eastAsia="바탕체" w:cs="바탕체"/>
                <w:b/>
                <w:sz w:val="24"/>
                <w:u w:val="none"/>
              </w:rPr>
              <w:t>I. 개요</w:t>
            </w:r>
          </w:p>
        </w:tc>
      </w:tr>
      <w:tr>
        <w:trPr>
          <w:trHeight w:hRule="atLeast" w:val="130"/>
        </w:trPr>
        <w:tc>
          <w:tcPr>
            <w:tcW w:type="dxa" w:w="1270"/>
            <w:vAlign w:val="center"/>
          </w:tcPr>
          <w:p>
            <w:pPr>
              <w:spacing w:before="0" w:after="0" w:line="240" w:lineRule="auto"/>
              <w:jc w:val="center"/>
            </w:pPr>
            <w:r>
              <w:rPr>
                <w:rFonts w:ascii="바탕체" w:hAnsi="바탕체" w:eastAsia="바탕체" w:cs="바탕체"/>
                <w:b/>
                <w:sz w:val="22"/>
                <w:u w:val="none"/>
              </w:rPr>
              <w:t>지원부문</w:t>
            </w:r>
          </w:p>
        </w:tc>
        <w:tc>
          <w:tcPr>
            <w:tcW w:type="dxa" w:w="7796"/>
            <w:gridSpan w:val="4"/>
            <w:vAlign w:val="center"/>
          </w:tcPr>
          <w:p>
            <w:pPr>
              <w:spacing w:before="0" w:after="0" w:line="240" w:lineRule="auto"/>
            </w:pPr>
            <w:r>
              <w:rPr>
                <w:rFonts w:ascii="바탕체" w:hAnsi="바탕체" w:eastAsia="바탕체" w:cs="바탕체"/>
                <w:b w:val="0"/>
                <w:sz w:val="20"/>
                <w:u w:val="none"/>
              </w:rPr>
              <w:t>제조 AX 부문</w:t>
            </w:r>
          </w:p>
        </w:tc>
      </w:tr>
      <w:tr>
        <w:trPr>
          <w:trHeight w:hRule="atLeast" w:val="380"/>
        </w:trPr>
        <w:tc>
          <w:tcPr>
            <w:tcW w:type="dxa" w:w="1270"/>
            <w:vAlign w:val="center"/>
          </w:tcPr>
          <w:p>
            <w:pPr>
              <w:spacing w:before="0" w:after="0" w:line="240" w:lineRule="auto"/>
              <w:jc w:val="center"/>
            </w:pPr>
            <w:r>
              <w:rPr>
                <w:rFonts w:ascii="바탕체" w:hAnsi="바탕체" w:eastAsia="바탕체" w:cs="바탕체"/>
                <w:b/>
                <w:sz w:val="22"/>
                <w:u w:val="none"/>
              </w:rPr>
              <w:t>팀/그룹</w:t>
            </w:r>
          </w:p>
        </w:tc>
        <w:tc>
          <w:tcPr>
            <w:tcW w:type="dxa" w:w="3263"/>
            <w:gridSpan w:val="2"/>
            <w:vAlign w:val="center"/>
          </w:tcPr>
          <w:p>
            <w:pPr>
              <w:spacing w:before="0" w:after="0" w:line="240" w:lineRule="auto"/>
            </w:pPr>
            <w:r>
              <w:rPr>
                <w:rFonts w:ascii="바탕체" w:hAnsi="바탕체" w:eastAsia="바탕체" w:cs="바탕체"/>
                <w:b w:val="0"/>
                <w:sz w:val="20"/>
                <w:u w:val="none"/>
              </w:rPr>
              <w:t>제조기술센터 품질기술그룹</w:t>
            </w:r>
          </w:p>
        </w:tc>
        <w:tc>
          <w:tcPr>
            <w:tcW w:type="dxa" w:w="1270"/>
            <w:vAlign w:val="center"/>
          </w:tcPr>
          <w:p>
            <w:pPr>
              <w:spacing w:before="0" w:after="0" w:line="240" w:lineRule="auto"/>
              <w:jc w:val="center"/>
            </w:pPr>
            <w:r>
              <w:rPr>
                <w:rFonts w:ascii="바탕체" w:hAnsi="바탕체" w:eastAsia="바탕체" w:cs="바탕체"/>
                <w:b/>
                <w:sz w:val="22"/>
                <w:u w:val="none"/>
              </w:rPr>
              <w:t>대표자</w:t>
            </w:r>
          </w:p>
        </w:tc>
        <w:tc>
          <w:tcPr>
            <w:tcW w:type="dxa" w:w="3263"/>
            <w:vAlign w:val="center"/>
          </w:tcPr>
          <w:p>
            <w:pPr>
              <w:spacing w:before="0" w:after="0" w:line="240" w:lineRule="auto"/>
            </w:pPr>
            <w:r>
              <w:rPr>
                <w:rFonts w:ascii="바탕체" w:hAnsi="바탕체" w:eastAsia="바탕체" w:cs="바탕체"/>
                <w:b w:val="0"/>
                <w:sz w:val="20"/>
                <w:u w:val="none"/>
              </w:rPr>
              <w:t>홍길동</w:t>
            </w:r>
          </w:p>
        </w:tc>
      </w:tr>
      <w:tr>
        <w:trPr>
          <w:trHeight w:hRule="atLeast" w:val="329"/>
        </w:trPr>
        <w:tc>
          <w:tcPr>
            <w:tcW w:type="dxa" w:w="1270"/>
            <w:vAlign w:val="center"/>
          </w:tcPr>
          <w:p>
            <w:pPr>
              <w:spacing w:before="0" w:after="0" w:line="240" w:lineRule="auto"/>
              <w:jc w:val="center"/>
            </w:pPr>
            <w:r>
              <w:rPr>
                <w:rFonts w:ascii="바탕체" w:hAnsi="바탕체" w:eastAsia="바탕체" w:cs="바탕체"/>
                <w:b/>
                <w:sz w:val="22"/>
                <w:u w:val="none"/>
              </w:rPr>
              <w:t>제목</w:t>
            </w:r>
          </w:p>
        </w:tc>
        <w:tc>
          <w:tcPr>
            <w:tcW w:type="dxa" w:w="7796"/>
            <w:gridSpan w:val="4"/>
            <w:vAlign w:val="center"/>
          </w:tcPr>
          <w:p>
            <w:pPr>
              <w:spacing w:before="0" w:after="0" w:line="240" w:lineRule="auto"/>
            </w:pPr>
            <w:r>
              <w:rPr>
                <w:rFonts w:ascii="바탕체" w:hAnsi="바탕체" w:eastAsia="바탕체" w:cs="바탕체"/>
                <w:b/>
                <w:sz w:val="20"/>
                <w:u w:val="none"/>
              </w:rPr>
              <w:t>완전한 품질 AI Agent Orchestration 구축 — 감지부터 판단·조치·자동조치까지 스스로 수행하는 살아있는 품질 관리 시스템</w:t>
            </w:r>
          </w:p>
        </w:tc>
      </w:tr>
      <w:tr>
        <w:trPr>
          <w:trHeight w:hRule="atLeast" w:val="329"/>
        </w:trPr>
        <w:tc>
          <w:tcPr>
            <w:tcW w:type="dxa" w:w="1270"/>
            <w:vMerge w:val="restart"/>
            <w:vAlign w:val="center"/>
          </w:tcPr>
          <w:p>
            <w:pPr>
              <w:spacing w:before="0" w:after="0" w:line="240" w:lineRule="auto"/>
              <w:jc w:val="center"/>
            </w:pPr>
            <w:r>
              <w:rPr>
                <w:rFonts w:ascii="바탕체" w:hAnsi="바탕체" w:eastAsia="바탕체" w:cs="바탕체"/>
                <w:b/>
                <w:sz w:val="22"/>
                <w:u w:val="none"/>
              </w:rPr>
              <w:t>분류</w:t>
            </w:r>
          </w:p>
        </w:tc>
        <w:tc>
          <w:tcPr>
            <w:tcW w:type="dxa" w:w="1270"/>
            <w:vAlign w:val="center"/>
          </w:tcPr>
          <w:p>
            <w:pPr>
              <w:spacing w:before="0" w:after="0" w:line="240" w:lineRule="auto"/>
              <w:jc w:val="center"/>
            </w:pPr>
            <w:r>
              <w:rPr>
                <w:rFonts w:ascii="바탕체" w:hAnsi="바탕체" w:eastAsia="바탕체" w:cs="바탕체"/>
                <w:b/>
                <w:sz w:val="22"/>
                <w:u w:val="none"/>
              </w:rPr>
              <w:t>적용시점</w:t>
            </w:r>
          </w:p>
        </w:tc>
        <w:tc>
          <w:tcPr>
            <w:tcW w:type="dxa" w:w="6526"/>
            <w:gridSpan w:val="3"/>
            <w:vAlign w:val="center"/>
          </w:tcPr>
          <w:p>
            <w:pPr>
              <w:spacing w:before="0" w:after="0" w:line="240" w:lineRule="auto"/>
            </w:pPr>
            <w:r>
              <w:rPr>
                <w:rFonts w:ascii="바탕체" w:hAnsi="바탕체" w:eastAsia="바탕체" w:cs="바탕체"/>
                <w:b w:val="0"/>
                <w:sz w:val="20"/>
                <w:u w:val="none"/>
              </w:rPr>
              <w:t>2026-09-01 ~ 2028-08-31 (24개월) · 2개년 단계 과제 — 1차년 구축·검증 / 2차년 확산·자동화</w:t>
            </w:r>
          </w:p>
        </w:tc>
      </w:tr>
      <w:tr>
        <w:trPr>
          <w:trHeight w:hRule="atLeast" w:val="420"/>
        </w:trPr>
        <w:tc>
          <w:tcPr>
            <w:tcW w:type="dxa" w:w="1270"/>
            <w:vMerge/>
          </w:tcPr>
          <w:p/>
        </w:tc>
        <w:tc>
          <w:tcPr>
            <w:tcW w:type="dxa" w:w="1270"/>
            <w:vAlign w:val="center"/>
          </w:tcPr>
          <w:p>
            <w:pPr>
              <w:spacing w:before="0" w:after="0" w:line="240" w:lineRule="auto"/>
              <w:jc w:val="center"/>
            </w:pPr>
            <w:r>
              <w:rPr>
                <w:rFonts w:ascii="바탕체" w:hAnsi="바탕체" w:eastAsia="바탕체" w:cs="바탕체"/>
                <w:b/>
                <w:sz w:val="22"/>
                <w:u w:val="none"/>
              </w:rPr>
              <w:t>횡전개 범위</w:t>
            </w:r>
          </w:p>
        </w:tc>
        <w:tc>
          <w:tcPr>
            <w:tcW w:type="dxa" w:w="6526"/>
            <w:gridSpan w:val="3"/>
            <w:vAlign w:val="center"/>
          </w:tcPr>
          <w:p>
            <w:pPr>
              <w:spacing w:before="0" w:after="0" w:line="240" w:lineRule="auto"/>
            </w:pPr>
            <w:r>
              <w:rPr>
                <w:rFonts w:ascii="바탕체" w:hAnsi="바탕체" w:eastAsia="바탕체" w:cs="바탕체"/>
                <w:b w:val="0"/>
                <w:sz w:val="20"/>
                <w:u w:val="none"/>
              </w:rPr>
              <w:t>1차년 포토 1개 공정 → 2차년 etch·CMP 확산(3개 공정) → 품질·공정 엔지니어 약 1,000명 · FAB·EDS 전 공정 · DRAM·NAND 전 제품군. 확산 표준안(코어 + 공정별 조사규칙 템플릿 + 골든셋 구축 절차)으로 타 조직 이관</w:t>
            </w:r>
          </w:p>
        </w:tc>
      </w:tr>
      <w:tr>
        <w:trPr>
          <w:trHeight w:hRule="atLeast" w:val="102"/>
        </w:trPr>
        <w:tc>
          <w:tcPr>
            <w:tcW w:type="dxa" w:w="9066"/>
            <w:gridSpan w:val="5"/>
            <w:vAlign w:val="center"/>
            <w:shd w:val="clear" w:color="auto" w:fill="F2F2F2"/>
          </w:tcPr>
          <w:p>
            <w:pPr>
              <w:spacing w:before="0" w:after="0" w:line="240" w:lineRule="auto"/>
            </w:pPr>
            <w:r>
              <w:rPr>
                <w:rFonts w:ascii="바탕체" w:hAnsi="바탕체" w:eastAsia="바탕체" w:cs="바탕체"/>
                <w:b/>
                <w:sz w:val="24"/>
                <w:u w:val="none"/>
              </w:rPr>
              <w:t>II. Process</w:t>
            </w:r>
          </w:p>
        </w:tc>
      </w:tr>
      <w:tr>
        <w:trPr>
          <w:trHeight w:hRule="atLeast" w:val="9581"/>
        </w:trPr>
        <w:tc>
          <w:tcPr>
            <w:tcW w:type="dxa" w:w="1270"/>
            <w:vAlign w:val="top"/>
          </w:tcPr>
          <w:p>
            <w:pPr>
              <w:spacing w:before="0" w:after="0" w:line="240" w:lineRule="auto"/>
              <w:jc w:val="center"/>
            </w:pPr>
            <w:r>
              <w:rPr>
                <w:rFonts w:ascii="바탕체" w:hAnsi="바탕체" w:eastAsia="바탕체" w:cs="바탕체"/>
                <w:b/>
                <w:sz w:val="22"/>
                <w:u w:val="none"/>
              </w:rPr>
              <w:t>문제 정의</w:t>
            </w:r>
          </w:p>
        </w:tc>
        <w:tc>
          <w:tcPr>
            <w:tcW w:type="dxa" w:w="7796"/>
            <w:gridSpan w:val="4"/>
            <w:vAlign w:val="top"/>
          </w:tcPr>
          <w:p>
            <w:pPr>
              <w:spacing w:before="0" w:after="40" w:line="240" w:lineRule="auto"/>
            </w:pPr>
            <w:r>
              <w:rPr>
                <w:rFonts w:ascii="바탕체" w:hAnsi="바탕체" w:eastAsia="바탕체" w:cs="바탕체"/>
                <w:b/>
                <w:sz w:val="20"/>
                <w:u w:val="none"/>
              </w:rPr>
              <w:t>1. 현행 업무 — 불량 하나를 판단하는 데 네 가지가 반복된다</w:t>
            </w:r>
          </w:p>
          <w:p>
            <w:pPr>
              <w:spacing w:before="0" w:after="80" w:line="240" w:lineRule="auto"/>
              <w:ind w:left="227"/>
            </w:pPr>
            <w:r>
              <w:rPr>
                <w:rFonts w:ascii="바탕체" w:hAnsi="바탕체" w:eastAsia="바탕체" w:cs="바탕체"/>
                <w:b w:val="0"/>
                <w:sz w:val="20"/>
                <w:u w:val="none"/>
              </w:rPr>
              <w:t>불량 하나를 판단하려면 SPC 트렌드·wafer map·결함 이미지·Inform Note 조치이력·MES·YMS 기준정보를 서로 다른 기간시스템에서 하나씩 열어 대조해야 한다.</w:t>
            </w:r>
          </w:p>
          <w:tbl>
            <w:tblPr>
              <w:tblStyle w:val="TableGrid"/>
              <w:tblW w:type="dxa" w:w="7540"/>
              <w:tblLayout w:type="fixed"/>
              <w:tblLook w:firstColumn="1" w:firstRow="1" w:lastColumn="0" w:lastRow="0" w:noHBand="0" w:noVBand="1" w:val="04A0"/>
            </w:tblPr>
            <w:tblGrid>
              <w:gridCol w:w="907"/>
              <w:gridCol w:w="6633"/>
            </w:tblGrid>
            <w:tr>
              <w:tc>
                <w:tcPr>
                  <w:tcW w:type="dxa" w:w="907"/>
                  <w:vAlign w:val="center"/>
                </w:tcPr>
                <w:p>
                  <w:pPr>
                    <w:spacing w:before="0" w:after="0" w:line="240" w:lineRule="auto"/>
                    <w:jc w:val="center"/>
                  </w:pPr>
                  <w:r>
                    <w:rPr>
                      <w:rFonts w:ascii="바탕체" w:hAnsi="바탕체" w:eastAsia="바탕체" w:cs="바탕체"/>
                      <w:b/>
                      <w:sz w:val="20"/>
                      <w:u w:val="none"/>
                    </w:rPr>
                    <w:t>시간</w:t>
                  </w:r>
                </w:p>
              </w:tc>
              <w:tc>
                <w:tcPr>
                  <w:tcW w:type="dxa" w:w="6633"/>
                </w:tcPr>
                <w:p>
                  <w:pPr>
                    <w:spacing w:before="0" w:after="0" w:line="240" w:lineRule="auto"/>
                  </w:pPr>
                  <w:r>
                    <w:rPr>
                      <w:rFonts w:ascii="바탕체" w:hAnsi="바탕체" w:eastAsia="바탕체" w:cs="바탕체"/>
                      <w:b w:val="0"/>
                      <w:sz w:val="20"/>
                      <w:u w:val="none"/>
                    </w:rPr>
                    <w:t>시스템 사이를 오가며 손으로 대조하는 데 판정 시간의 대부분이 쓰인다. 판단 자체에 쓰는 시간은 그 일부다</w:t>
                  </w:r>
                </w:p>
              </w:tc>
            </w:tr>
            <w:tr>
              <w:tc>
                <w:tcPr>
                  <w:tcW w:type="dxa" w:w="907"/>
                  <w:vAlign w:val="center"/>
                </w:tcPr>
                <w:p>
                  <w:pPr>
                    <w:spacing w:before="0" w:after="0" w:line="240" w:lineRule="auto"/>
                    <w:jc w:val="center"/>
                  </w:pPr>
                  <w:r>
                    <w:rPr>
                      <w:rFonts w:ascii="바탕체" w:hAnsi="바탕체" w:eastAsia="바탕체" w:cs="바탕체"/>
                      <w:b/>
                      <w:sz w:val="20"/>
                      <w:u w:val="none"/>
                    </w:rPr>
                    <w:t>편차</w:t>
                  </w:r>
                </w:p>
              </w:tc>
              <w:tc>
                <w:tcPr>
                  <w:tcW w:type="dxa" w:w="6633"/>
                </w:tcPr>
                <w:p>
                  <w:pPr>
                    <w:spacing w:before="0" w:after="0" w:line="240" w:lineRule="auto"/>
                  </w:pPr>
                  <w:r>
                    <w:rPr>
                      <w:rFonts w:ascii="바탕체" w:hAnsi="바탕체" w:eastAsia="바탕체" w:cs="바탕체"/>
                      <w:b w:val="0"/>
                      <w:sz w:val="20"/>
                      <w:u w:val="none"/>
                    </w:rPr>
                    <w:t>무엇을 봤고 무엇을 안 봤는지가 사람마다 달라, 같은 현상에 다른 결론이 나온다</w:t>
                  </w:r>
                </w:p>
              </w:tc>
            </w:tr>
            <w:tr>
              <w:tc>
                <w:tcPr>
                  <w:tcW w:type="dxa" w:w="907"/>
                  <w:vAlign w:val="center"/>
                </w:tcPr>
                <w:p>
                  <w:pPr>
                    <w:spacing w:before="0" w:after="0" w:line="240" w:lineRule="auto"/>
                    <w:jc w:val="center"/>
                  </w:pPr>
                  <w:r>
                    <w:rPr>
                      <w:rFonts w:ascii="바탕체" w:hAnsi="바탕체" w:eastAsia="바탕체" w:cs="바탕체"/>
                      <w:b/>
                      <w:sz w:val="20"/>
                      <w:u w:val="none"/>
                    </w:rPr>
                    <w:t>공백</w:t>
                  </w:r>
                </w:p>
              </w:tc>
              <w:tc>
                <w:tcPr>
                  <w:tcW w:type="dxa" w:w="6633"/>
                </w:tcPr>
                <w:p>
                  <w:pPr>
                    <w:spacing w:before="0" w:after="0" w:line="240" w:lineRule="auto"/>
                  </w:pPr>
                  <w:r>
                    <w:rPr>
                      <w:rFonts w:ascii="바탕체" w:hAnsi="바탕체" w:eastAsia="바탕체" w:cs="바탕체"/>
                      <w:b w:val="0"/>
                      <w:sz w:val="20"/>
                      <w:u w:val="none"/>
                    </w:rPr>
                    <w:t>야간·주말은 대응이 다음 근무까지 밀린다. 그 사이 같은 원인의 불량이 계속 생산된다</w:t>
                  </w:r>
                </w:p>
              </w:tc>
            </w:tr>
            <w:tr>
              <w:tc>
                <w:tcPr>
                  <w:tcW w:type="dxa" w:w="907"/>
                  <w:vAlign w:val="center"/>
                </w:tcPr>
                <w:p>
                  <w:pPr>
                    <w:spacing w:before="0" w:after="0" w:line="240" w:lineRule="auto"/>
                    <w:jc w:val="center"/>
                  </w:pPr>
                  <w:r>
                    <w:rPr>
                      <w:rFonts w:ascii="바탕체" w:hAnsi="바탕체" w:eastAsia="바탕체" w:cs="바탕체"/>
                      <w:b/>
                      <w:sz w:val="20"/>
                      <w:u w:val="none"/>
                    </w:rPr>
                    <w:t>휘발</w:t>
                  </w:r>
                </w:p>
              </w:tc>
              <w:tc>
                <w:tcPr>
                  <w:tcW w:type="dxa" w:w="6633"/>
                </w:tcPr>
                <w:p>
                  <w:pPr>
                    <w:spacing w:before="0" w:after="0" w:line="240" w:lineRule="auto"/>
                  </w:pPr>
                  <w:r>
                    <w:rPr>
                      <w:rFonts w:ascii="바탕체" w:hAnsi="바탕체" w:eastAsia="바탕체" w:cs="바탕체"/>
                      <w:b w:val="0"/>
                      <w:sz w:val="20"/>
                      <w:u w:val="none"/>
                    </w:rPr>
                    <w:t>판단 근거가 사람 머릿속에 남는다. 담당자가 바뀌면 처음부터 다시 푼다</w:t>
                  </w:r>
                </w:p>
              </w:tc>
            </w:tr>
          </w:tbl>
          <w:p/>
          <w:p>
            <w:pPr>
              <w:spacing w:before="120" w:after="40" w:line="240" w:lineRule="auto"/>
            </w:pPr>
            <w:r>
              <w:rPr>
                <w:rFonts w:ascii="바탕체" w:hAnsi="바탕체" w:eastAsia="바탕체" w:cs="바탕체"/>
                <w:b/>
                <w:sz w:val="20"/>
                <w:u w:val="none"/>
              </w:rPr>
              <w:t>2. 기존 대안으로는 해결되지 않는다</w:t>
            </w:r>
          </w:p>
          <w:tbl>
            <w:tblPr>
              <w:tblStyle w:val="TableGrid"/>
              <w:tblW w:type="dxa" w:w="7540"/>
              <w:tblLayout w:type="fixed"/>
              <w:tblLook w:firstColumn="1" w:firstRow="1" w:lastColumn="0" w:lastRow="0" w:noHBand="0" w:noVBand="1" w:val="04A0"/>
            </w:tblPr>
            <w:tblGrid>
              <w:gridCol w:w="1700"/>
              <w:gridCol w:w="5839"/>
            </w:tblGrid>
            <w:tr>
              <w:trPr>
                <w:trHeight w:hRule="atLeast" w:val="272"/>
              </w:trPr>
              <w:tc>
                <w:tcPr>
                  <w:tcW w:type="dxa" w:w="1701"/>
                  <w:vAlign w:val="center"/>
                  <w:shd w:val="clear" w:color="auto" w:fill="F2F2F2"/>
                </w:tcPr>
                <w:p>
                  <w:pPr>
                    <w:spacing w:before="0" w:after="0" w:line="240" w:lineRule="auto"/>
                    <w:jc w:val="center"/>
                  </w:pPr>
                  <w:r>
                    <w:rPr>
                      <w:rFonts w:ascii="바탕체" w:hAnsi="바탕체" w:eastAsia="바탕체" w:cs="바탕체"/>
                      <w:b/>
                      <w:sz w:val="20"/>
                      <w:u w:val="none"/>
                    </w:rPr>
                    <w:t>대안</w:t>
                  </w:r>
                </w:p>
              </w:tc>
              <w:tc>
                <w:tcPr>
                  <w:tcW w:type="dxa" w:w="5839"/>
                  <w:vAlign w:val="center"/>
                  <w:shd w:val="clear" w:color="auto" w:fill="F2F2F2"/>
                </w:tcPr>
                <w:p>
                  <w:pPr>
                    <w:spacing w:before="0" w:after="0" w:line="240" w:lineRule="auto"/>
                    <w:jc w:val="center"/>
                  </w:pPr>
                  <w:r>
                    <w:rPr>
                      <w:rFonts w:ascii="바탕체" w:hAnsi="바탕체" w:eastAsia="바탕체" w:cs="바탕체"/>
                      <w:b/>
                      <w:sz w:val="20"/>
                      <w:u w:val="none"/>
                    </w:rPr>
                    <w:t>왜 부족한가</w:t>
                  </w:r>
                </w:p>
              </w:tc>
            </w:tr>
            <w:tr>
              <w:tc>
                <w:tcPr>
                  <w:tcW w:type="dxa" w:w="1701"/>
                  <w:vAlign w:val="center"/>
                </w:tcPr>
                <w:p>
                  <w:pPr>
                    <w:spacing w:before="0" w:after="0" w:line="240" w:lineRule="auto"/>
                    <w:jc w:val="center"/>
                  </w:pPr>
                  <w:r>
                    <w:rPr>
                      <w:rFonts w:ascii="바탕체" w:hAnsi="바탕체" w:eastAsia="바탕체" w:cs="바탕체"/>
                      <w:b/>
                      <w:sz w:val="20"/>
                      <w:u w:val="none"/>
                    </w:rPr>
                    <w:t>사내 LLM API</w:t>
                  </w:r>
                </w:p>
              </w:tc>
              <w:tc>
                <w:tcPr>
                  <w:tcW w:type="dxa" w:w="5839"/>
                </w:tcPr>
                <w:p>
                  <w:pPr>
                    <w:spacing w:before="0" w:after="0" w:line="240" w:lineRule="auto"/>
                  </w:pPr>
                  <w:r>
                    <w:rPr>
                      <w:rFonts w:ascii="바탕체" w:hAnsi="바탕체" w:eastAsia="바탕체" w:cs="바탕체"/>
                      <w:b w:val="0"/>
                      <w:sz w:val="20"/>
                      <w:u w:val="none"/>
                    </w:rPr>
                    <w:t>사내 DB 조회도 이미지 판독도 못 한다. 검색기 파인튜닝·에이전트 토큰 구조가 없어 우리 데이터로 정확해지는 경로가 없다</w:t>
                  </w:r>
                </w:p>
              </w:tc>
            </w:tr>
            <w:tr>
              <w:tc>
                <w:tcPr>
                  <w:tcW w:type="dxa" w:w="1701"/>
                  <w:vAlign w:val="center"/>
                </w:tcPr>
                <w:p>
                  <w:pPr>
                    <w:spacing w:before="0" w:after="0" w:line="240" w:lineRule="auto"/>
                    <w:jc w:val="center"/>
                  </w:pPr>
                  <w:r>
                    <w:rPr>
                      <w:rFonts w:ascii="바탕체" w:hAnsi="바탕체" w:eastAsia="바탕체" w:cs="바탕체"/>
                      <w:b/>
                      <w:sz w:val="20"/>
                      <w:u w:val="none"/>
                    </w:rPr>
                    <w:t>사내 공용 RAG</w:t>
                  </w:r>
                </w:p>
              </w:tc>
              <w:tc>
                <w:tcPr>
                  <w:tcW w:type="dxa" w:w="5839"/>
                </w:tcPr>
                <w:p>
                  <w:pPr>
                    <w:spacing w:before="0" w:after="0" w:line="240" w:lineRule="auto"/>
                  </w:pPr>
                  <w:r>
                    <w:rPr>
                      <w:rFonts w:ascii="바탕체" w:hAnsi="바탕체" w:eastAsia="바탕체" w:cs="바탕체"/>
                      <w:b w:val="0"/>
                      <w:sz w:val="20"/>
                      <w:u w:val="none"/>
                    </w:rPr>
                    <w:t>용어 병기(ACI → 세정 후 계측), 설비 ID 통짜 보호(PHO-D03), 형태소 색인, 메타 필터, 리랭커 교체, recall 열람이 모두 막혀 있다</w:t>
                  </w:r>
                </w:p>
              </w:tc>
            </w:tr>
            <w:tr>
              <w:tc>
                <w:tcPr>
                  <w:tcW w:type="dxa" w:w="1701"/>
                  <w:vAlign w:val="center"/>
                </w:tcPr>
                <w:p>
                  <w:pPr>
                    <w:spacing w:before="0" w:after="0" w:line="240" w:lineRule="auto"/>
                    <w:jc w:val="center"/>
                  </w:pPr>
                  <w:r>
                    <w:rPr>
                      <w:rFonts w:ascii="바탕체" w:hAnsi="바탕체" w:eastAsia="바탕체" w:cs="바탕체"/>
                      <w:b/>
                      <w:sz w:val="20"/>
                      <w:u w:val="none"/>
                    </w:rPr>
                    <w:t>BI·대시보드</w:t>
                  </w:r>
                </w:p>
              </w:tc>
              <w:tc>
                <w:tcPr>
                  <w:tcW w:type="dxa" w:w="5839"/>
                </w:tcPr>
                <w:p>
                  <w:pPr>
                    <w:spacing w:before="0" w:after="0" w:line="240" w:lineRule="auto"/>
                  </w:pPr>
                  <w:r>
                    <w:rPr>
                      <w:rFonts w:ascii="바탕체" w:hAnsi="바탕체" w:eastAsia="바탕체" w:cs="바탕체"/>
                      <w:b w:val="0"/>
                      <w:sz w:val="20"/>
                      <w:u w:val="none"/>
                    </w:rPr>
                    <w:t>볼 화면을 늘릴 뿐 판단을 대신하지 않는다</w:t>
                  </w:r>
                </w:p>
              </w:tc>
            </w:tr>
            <w:tr>
              <w:tc>
                <w:tcPr>
                  <w:tcW w:type="dxa" w:w="1701"/>
                  <w:vAlign w:val="center"/>
                </w:tcPr>
                <w:p>
                  <w:pPr>
                    <w:spacing w:before="0" w:after="0" w:line="240" w:lineRule="auto"/>
                    <w:jc w:val="center"/>
                  </w:pPr>
                  <w:r>
                    <w:rPr>
                      <w:rFonts w:ascii="바탕체" w:hAnsi="바탕체" w:eastAsia="바탕체" w:cs="바탕체"/>
                      <w:b/>
                      <w:sz w:val="20"/>
                      <w:u w:val="none"/>
                    </w:rPr>
                    <w:t>규칙 기반 SPC 알람</w:t>
                  </w:r>
                </w:p>
              </w:tc>
              <w:tc>
                <w:tcPr>
                  <w:tcW w:type="dxa" w:w="5839"/>
                </w:tcPr>
                <w:p>
                  <w:pPr>
                    <w:spacing w:before="0" w:after="0" w:line="240" w:lineRule="auto"/>
                  </w:pPr>
                  <w:r>
                    <w:rPr>
                      <w:rFonts w:ascii="바탕체" w:hAnsi="바탕체" w:eastAsia="바탕체" w:cs="바탕체"/>
                      <w:b w:val="0"/>
                      <w:sz w:val="20"/>
                      <w:u w:val="none"/>
                    </w:rPr>
                    <w:t>이상이다까지만 말한다. 대체 대상이 아니라 트리거 입력으로 그대로 쓴다</w:t>
                  </w:r>
                </w:p>
              </w:tc>
            </w:tr>
          </w:tbl>
          <w:p/>
          <w:p>
            <w:pPr>
              <w:spacing w:before="120" w:after="40" w:line="240" w:lineRule="auto"/>
            </w:pPr>
            <w:r>
              <w:rPr>
                <w:rFonts w:ascii="바탕체" w:hAnsi="바탕체" w:eastAsia="바탕체" w:cs="바탕체"/>
                <w:b/>
                <w:sz w:val="20"/>
                <w:u w:val="none"/>
              </w:rPr>
              <w:t>3. 현업 관점의 중요도 — 상시·대량 업무이고, 오판 비용이 크다</w:t>
            </w:r>
          </w:p>
          <w:p>
            <w:pPr>
              <w:spacing w:before="0" w:after="60" w:line="240" w:lineRule="auto"/>
              <w:ind w:left="425" w:hanging="198"/>
            </w:pPr>
            <w:r>
              <w:rPr>
                <w:rFonts w:ascii="바탕체" w:hAnsi="바탕체" w:eastAsia="바탕체" w:cs="바탕체"/>
                <w:b w:val="0"/>
                <w:sz w:val="20"/>
                <w:u w:val="none"/>
              </w:rPr>
              <w:t>- 대상·부하 : 품질·공정 엔지니어 약 1,000명이 1인당 일 4시간, 근무 8시간의 절반을 이 업무에 쓴다.</w:t>
            </w:r>
          </w:p>
          <w:p>
            <w:pPr>
              <w:spacing w:before="0" w:after="60" w:line="240" w:lineRule="auto"/>
              <w:ind w:left="425" w:hanging="198"/>
            </w:pPr>
            <w:r>
              <w:rPr>
                <w:rFonts w:ascii="바탕체" w:hAnsi="바탕체" w:eastAsia="바탕체" w:cs="바탕체"/>
                <w:b w:val="0"/>
                <w:sz w:val="20"/>
                <w:u w:val="none"/>
              </w:rPr>
              <w:t>- 오판 비용 : 진성을 놓치면 유출·고객 클레임, 가성을 Hold 하면 라인 정지와 Lot 대기. 판정 1건이 수율 보호와 TAT 에 직접 연결된다.</w:t>
            </w:r>
          </w:p>
          <w:p>
            <w:pPr>
              <w:spacing w:before="120" w:after="40" w:line="240" w:lineRule="auto"/>
            </w:pPr>
            <w:r>
              <w:rPr>
                <w:rFonts w:ascii="바탕체" w:hAnsi="바탕체" w:eastAsia="바탕체" w:cs="바탕체"/>
                <w:b/>
                <w:sz w:val="20"/>
                <w:u w:val="none"/>
              </w:rPr>
              <w:t>4. 지금 시작해야 하는 이유</w:t>
            </w:r>
          </w:p>
          <w:p>
            <w:pPr>
              <w:spacing w:before="0" w:after="0" w:line="240" w:lineRule="auto"/>
              <w:ind w:left="227"/>
            </w:pPr>
            <w:r>
              <w:rPr>
                <w:rFonts w:ascii="바탕체" w:hAnsi="바탕체" w:eastAsia="바탕체" w:cs="바탕체"/>
                <w:b w:val="0"/>
                <w:sz w:val="20"/>
                <w:u w:val="none"/>
              </w:rPr>
              <w:t>판정 이력과 Inform Note 가 학습 자산으로 쓸 만한 양에 도달했다. 오픈 LLM 도 사내 온프렘에서 돌릴 수준까지 왔고, 설계와 검증 체계는 이미 서 있다.</w:t>
            </w:r>
          </w:p>
        </w:tc>
      </w:tr>
    </w:tbl>
    <w:p>
      <w:pPr>
        <w:spacing w:before="0" w:after="0" w:line="120" w:lineRule="auto"/>
      </w:pPr>
      <w:r>
        <w:rPr>
          <w:rFonts w:ascii="바탕체" w:hAnsi="바탕체" w:eastAsia="바탕체" w:cs="바탕체"/>
          <w:b w:val="0"/>
          <w:sz w:val="2"/>
          <w:u w:val="none"/>
        </w:rPr>
        <w:br w:type="page"/>
      </w:r>
    </w:p>
    <w:tbl>
      <w:tblPr>
        <w:tblStyle w:val="TableGrid"/>
        <w:tblW w:type="dxa" w:w="9065"/>
        <w:tblLayout w:type="fixed"/>
        <w:tblLook w:firstColumn="1" w:firstRow="1" w:lastColumn="0" w:lastRow="0" w:noHBand="0" w:noVBand="1" w:val="04A0"/>
      </w:tblPr>
      <w:tblGrid>
        <w:gridCol w:w="1269"/>
        <w:gridCol w:w="7795"/>
      </w:tblGrid>
      <w:tr>
        <w:trPr>
          <w:trHeight w:hRule="atLeast" w:val="13493"/>
        </w:trPr>
        <w:tc>
          <w:tcPr>
            <w:tcW w:type="dxa" w:w="1270"/>
            <w:vAlign w:val="top"/>
          </w:tcPr>
          <w:p>
            <w:pPr>
              <w:spacing w:before="0" w:after="0" w:line="240" w:lineRule="auto"/>
              <w:jc w:val="center"/>
            </w:pPr>
            <w:r>
              <w:rPr>
                <w:rFonts w:ascii="바탕체" w:hAnsi="바탕체" w:eastAsia="바탕체" w:cs="바탕체"/>
                <w:b/>
                <w:sz w:val="22"/>
                <w:u w:val="none"/>
              </w:rPr>
              <w:t>Process</w:t>
            </w:r>
            <w:r>
              <w:rPr>
                <w:rFonts w:ascii="바탕체" w:hAnsi="바탕체" w:eastAsia="바탕체" w:cs="바탕체"/>
                <w:b/>
                <w:sz w:val="22"/>
                <w:u w:val="none"/>
              </w:rPr>
              <w:br/>
            </w:r>
            <w:r>
              <w:rPr>
                <w:rFonts w:ascii="바탕체" w:hAnsi="바탕체" w:eastAsia="바탕체" w:cs="바탕체"/>
                <w:b/>
                <w:sz w:val="22"/>
                <w:u w:val="none"/>
              </w:rPr>
              <w:t>재설계</w:t>
            </w:r>
          </w:p>
        </w:tc>
        <w:tc>
          <w:tcPr>
            <w:tcW w:type="dxa" w:w="7795"/>
            <w:vAlign w:val="top"/>
          </w:tcPr>
          <w:p>
            <w:pPr>
              <w:spacing w:before="0" w:after="40" w:line="240" w:lineRule="auto"/>
            </w:pPr>
            <w:r>
              <w:rPr>
                <w:rFonts w:ascii="바탕체" w:hAnsi="바탕체" w:eastAsia="바탕체" w:cs="바탕체"/>
                <w:b/>
                <w:sz w:val="20"/>
                <w:u w:val="none"/>
              </w:rPr>
              <w:t>1. 대상 E2E Process — 코어는 하나, 입구는 둘</w:t>
            </w:r>
          </w:p>
          <w:p>
            <w:pPr>
              <w:spacing w:before="0" w:after="80" w:line="240" w:lineRule="auto"/>
              <w:ind w:left="227"/>
            </w:pPr>
            <w:r>
              <w:rPr>
                <w:rFonts w:ascii="바탕체" w:hAnsi="바탕체" w:eastAsia="바탕체" w:cs="바탕체"/>
                <w:b w:val="0"/>
                <w:sz w:val="20"/>
                <w:u w:val="none"/>
              </w:rPr>
              <w:t>입력은 두 갈래다. 엔지니어가 Chat 으로 묻거나, 이상감지 시스템이 스스로 찾아내 질문으로 바꾼다. 이후 진행은 같다. 아래는 "PHO-D03 CD 가 갑자기 올랐는데 원인이 뭐야" 한 건이 어떻게 흘러가는지 비교한 것이다.</w:t>
            </w:r>
          </w:p>
          <w:tbl>
            <w:tblPr>
              <w:tblStyle w:val="TableGrid"/>
              <w:tblW w:type="dxa" w:w="7540"/>
              <w:tblLayout w:type="fixed"/>
              <w:tblLook w:firstColumn="1" w:firstRow="1" w:lastColumn="0" w:lastRow="0" w:noHBand="0" w:noVBand="1" w:val="04A0"/>
            </w:tblPr>
            <w:tblGrid>
              <w:gridCol w:w="3770"/>
              <w:gridCol w:w="3770"/>
            </w:tblGrid>
            <w:tr>
              <w:trPr>
                <w:trHeight w:hRule="atLeast" w:val="272"/>
              </w:trPr>
              <w:tc>
                <w:tcPr>
                  <w:tcW w:type="dxa" w:w="3770"/>
                  <w:shd w:val="clear" w:color="auto" w:fill="E8EEF7"/>
                  <w:vAlign w:val="center"/>
                </w:tcPr>
                <w:p>
                  <w:pPr>
                    <w:spacing w:before="0" w:after="0" w:line="240" w:lineRule="auto"/>
                    <w:jc w:val="center"/>
                  </w:pPr>
                  <w:r>
                    <w:rPr>
                      <w:rFonts w:ascii="바탕체" w:hAnsi="바탕체" w:eastAsia="바탕체" w:cs="바탕체"/>
                      <w:b/>
                      <w:sz w:val="20"/>
                      <w:u w:val="none"/>
                    </w:rPr>
                    <w:t>입구 ① Chat — 엔지니어가 묻는다</w:t>
                  </w:r>
                </w:p>
              </w:tc>
              <w:tc>
                <w:tcPr>
                  <w:tcW w:type="dxa" w:w="3770"/>
                  <w:shd w:val="clear" w:color="auto" w:fill="E8EEF7"/>
                  <w:vAlign w:val="center"/>
                </w:tcPr>
                <w:p>
                  <w:pPr>
                    <w:spacing w:before="0" w:after="0" w:line="240" w:lineRule="auto"/>
                    <w:jc w:val="center"/>
                  </w:pPr>
                  <w:r>
                    <w:rPr>
                      <w:rFonts w:ascii="바탕체" w:hAnsi="바탕체" w:eastAsia="바탕체" w:cs="바탕체"/>
                      <w:b/>
                      <w:sz w:val="20"/>
                      <w:u w:val="none"/>
                    </w:rPr>
                    <w:t>입구 ② 이상감지 — 시스템이 스스로 찾아 기동한다</w:t>
                  </w:r>
                </w:p>
              </w:tc>
            </w:tr>
          </w:tbl>
          <w:p/>
          <w:p>
            <w:pPr>
              <w:spacing w:before="40" w:after="40" w:line="240" w:lineRule="auto"/>
              <w:jc w:val="center"/>
            </w:pPr>
            <w:r>
              <w:rPr>
                <w:rFonts w:ascii="바탕체" w:hAnsi="바탕체" w:eastAsia="바탕체" w:cs="바탕체"/>
                <w:b/>
                <w:sz w:val="20"/>
                <w:u w:val="none"/>
              </w:rPr>
              <w:t>▼  조사 코어 (LangGraph) — 마스터 Agent 가 하위 Agent·도구를 부린다</w:t>
            </w:r>
          </w:p>
          <w:tbl>
            <w:tblPr>
              <w:tblStyle w:val="TableGrid"/>
              <w:tblW w:type="dxa" w:w="7540"/>
              <w:tblLayout w:type="fixed"/>
              <w:tblLook w:firstColumn="1" w:firstRow="1" w:lastColumn="0" w:lastRow="0" w:noHBand="0" w:noVBand="1" w:val="04A0"/>
            </w:tblPr>
            <w:tblGrid>
              <w:gridCol w:w="1256"/>
              <w:gridCol w:w="1256"/>
              <w:gridCol w:w="1256"/>
              <w:gridCol w:w="1256"/>
              <w:gridCol w:w="1256"/>
              <w:gridCol w:w="1256"/>
            </w:tblGrid>
            <w:tr>
              <w:trPr>
                <w:trHeight w:hRule="atLeast" w:val="408"/>
              </w:trPr>
              <w:tc>
                <w:tcPr>
                  <w:tcW w:type="dxa" w:w="1257"/>
                  <w:vAlign w:val="center"/>
                  <w:shd w:val="clear" w:color="auto" w:fill="FBE4E4"/>
                  <w:tcBorders>
                    <w:top w:val="single" w:sz="12" w:space="0" w:color="C00000"/>
                    <w:left w:val="single" w:sz="12" w:space="0" w:color="C00000"/>
                    <w:bottom w:val="single" w:sz="12" w:space="0" w:color="C00000"/>
                    <w:right w:val="single" w:sz="12" w:space="0" w:color="C00000"/>
                  </w:tcBorders>
                </w:tcPr>
                <w:p>
                  <w:pPr>
                    <w:spacing w:before="0" w:after="0" w:line="240" w:lineRule="auto"/>
                    <w:jc w:val="center"/>
                  </w:pPr>
                  <w:r>
                    <w:rPr>
                      <w:rFonts w:ascii="바탕체" w:hAnsi="바탕체" w:eastAsia="바탕체" w:cs="바탕체"/>
                      <w:b/>
                      <w:sz w:val="20"/>
                      <w:u w:val="none"/>
                    </w:rPr>
                    <w:t>adapter</w:t>
                  </w:r>
                  <w:r>
                    <w:rPr>
                      <w:rFonts w:ascii="바탕체" w:hAnsi="바탕체" w:eastAsia="바탕체" w:cs="바탕체"/>
                      <w:b/>
                      <w:sz w:val="20"/>
                      <w:u w:val="none"/>
                    </w:rPr>
                    <w:br/>
                  </w:r>
                  <w:r>
                    <w:rPr>
                      <w:rFonts w:ascii="바탕체" w:hAnsi="바탕체" w:eastAsia="바탕체" w:cs="바탕체"/>
                      <w:b/>
                      <w:sz w:val="20"/>
                      <w:u w:val="none"/>
                    </w:rPr>
                    <w:t>증상 분류</w:t>
                  </w:r>
                </w:p>
              </w:tc>
              <w:tc>
                <w:tcPr>
                  <w:tcW w:type="dxa" w:w="1257"/>
                  <w:vAlign w:val="center"/>
                  <w:shd w:val="clear" w:color="auto" w:fill="FBE4E4"/>
                  <w:tcBorders>
                    <w:top w:val="single" w:sz="12" w:space="0" w:color="C00000"/>
                    <w:left w:val="single" w:sz="12" w:space="0" w:color="C00000"/>
                    <w:bottom w:val="single" w:sz="12" w:space="0" w:color="C00000"/>
                    <w:right w:val="single" w:sz="12" w:space="0" w:color="C00000"/>
                  </w:tcBorders>
                </w:tcPr>
                <w:p>
                  <w:pPr>
                    <w:spacing w:before="0" w:after="0" w:line="240" w:lineRule="auto"/>
                    <w:jc w:val="center"/>
                  </w:pPr>
                  <w:r>
                    <w:rPr>
                      <w:rFonts w:ascii="바탕체" w:hAnsi="바탕체" w:eastAsia="바탕체" w:cs="바탕체"/>
                      <w:b/>
                      <w:sz w:val="20"/>
                      <w:u w:val="none"/>
                    </w:rPr>
                    <w:t>investigator</w:t>
                  </w:r>
                  <w:r>
                    <w:rPr>
                      <w:rFonts w:ascii="바탕체" w:hAnsi="바탕체" w:eastAsia="바탕체" w:cs="바탕체"/>
                      <w:b/>
                      <w:sz w:val="20"/>
                      <w:u w:val="none"/>
                    </w:rPr>
                    <w:br/>
                  </w:r>
                  <w:r>
                    <w:rPr>
                      <w:rFonts w:ascii="바탕체" w:hAnsi="바탕체" w:eastAsia="바탕체" w:cs="바탕체"/>
                      <w:b/>
                      <w:sz w:val="20"/>
                      <w:u w:val="none"/>
                    </w:rPr>
                    <w:t>하위 Agent·도구</w:t>
                  </w:r>
                </w:p>
              </w:tc>
              <w:tc>
                <w:tcPr>
                  <w:tcW w:type="dxa" w:w="1257"/>
                  <w:vAlign w:val="center"/>
                  <w:shd w:val="clear" w:color="auto" w:fill="FBE4E4"/>
                  <w:tcBorders>
                    <w:top w:val="single" w:sz="12" w:space="0" w:color="C00000"/>
                    <w:left w:val="single" w:sz="12" w:space="0" w:color="C00000"/>
                    <w:bottom w:val="single" w:sz="12" w:space="0" w:color="C00000"/>
                    <w:right w:val="single" w:sz="12" w:space="0" w:color="C00000"/>
                  </w:tcBorders>
                </w:tcPr>
                <w:p>
                  <w:pPr>
                    <w:spacing w:before="0" w:after="0" w:line="240" w:lineRule="auto"/>
                    <w:jc w:val="center"/>
                  </w:pPr>
                  <w:r>
                    <w:rPr>
                      <w:rFonts w:ascii="바탕체" w:hAnsi="바탕체" w:eastAsia="바탕체" w:cs="바탕체"/>
                      <w:b/>
                      <w:sz w:val="20"/>
                      <w:u w:val="none"/>
                    </w:rPr>
                    <w:t>judgment</w:t>
                  </w:r>
                  <w:r>
                    <w:rPr>
                      <w:rFonts w:ascii="바탕체" w:hAnsi="바탕체" w:eastAsia="바탕체" w:cs="바탕체"/>
                      <w:b/>
                      <w:sz w:val="20"/>
                      <w:u w:val="none"/>
                    </w:rPr>
                    <w:br/>
                  </w:r>
                  <w:r>
                    <w:rPr>
                      <w:rFonts w:ascii="바탕체" w:hAnsi="바탕체" w:eastAsia="바탕체" w:cs="바탕체"/>
                      <w:b/>
                      <w:sz w:val="20"/>
                      <w:u w:val="none"/>
                    </w:rPr>
                    <w:t>검증기 5칙</w:t>
                  </w:r>
                </w:p>
              </w:tc>
              <w:tc>
                <w:tcPr>
                  <w:tcW w:type="dxa" w:w="1257"/>
                  <w:vAlign w:val="center"/>
                </w:tcPr>
                <w:p>
                  <w:pPr>
                    <w:spacing w:before="0" w:after="0" w:line="240" w:lineRule="auto"/>
                    <w:jc w:val="center"/>
                  </w:pPr>
                  <w:r>
                    <w:rPr>
                      <w:rFonts w:ascii="바탕체" w:hAnsi="바탕체" w:eastAsia="바탕체" w:cs="바탕체"/>
                      <w:b/>
                      <w:sz w:val="20"/>
                      <w:u w:val="none"/>
                    </w:rPr>
                    <w:t>action</w:t>
                  </w:r>
                  <w:r>
                    <w:rPr>
                      <w:rFonts w:ascii="바탕체" w:hAnsi="바탕체" w:eastAsia="바탕체" w:cs="바탕체"/>
                      <w:b/>
                      <w:sz w:val="20"/>
                      <w:u w:val="none"/>
                    </w:rPr>
                    <w:br/>
                  </w:r>
                  <w:r>
                    <w:rPr>
                      <w:rFonts w:ascii="바탕체" w:hAnsi="바탕체" w:eastAsia="바탕체" w:cs="바탕체"/>
                      <w:b/>
                      <w:sz w:val="20"/>
                      <w:u w:val="none"/>
                    </w:rPr>
                    <w:t>등급·승인</w:t>
                  </w:r>
                </w:p>
              </w:tc>
              <w:tc>
                <w:tcPr>
                  <w:tcW w:type="dxa" w:w="1257"/>
                  <w:vAlign w:val="center"/>
                  <w:shd w:val="clear" w:color="auto" w:fill="FBE4E4"/>
                  <w:tcBorders>
                    <w:top w:val="single" w:sz="12" w:space="0" w:color="C00000"/>
                    <w:left w:val="single" w:sz="12" w:space="0" w:color="C00000"/>
                    <w:bottom w:val="single" w:sz="12" w:space="0" w:color="C00000"/>
                    <w:right w:val="single" w:sz="12" w:space="0" w:color="C00000"/>
                  </w:tcBorders>
                </w:tcPr>
                <w:p>
                  <w:pPr>
                    <w:spacing w:before="0" w:after="0" w:line="240" w:lineRule="auto"/>
                    <w:jc w:val="center"/>
                  </w:pPr>
                  <w:r>
                    <w:rPr>
                      <w:rFonts w:ascii="바탕체" w:hAnsi="바탕체" w:eastAsia="바탕체" w:cs="바탕체"/>
                      <w:b/>
                      <w:sz w:val="20"/>
                      <w:u w:val="none"/>
                    </w:rPr>
                    <w:t>answer</w:t>
                  </w:r>
                  <w:r>
                    <w:rPr>
                      <w:rFonts w:ascii="바탕체" w:hAnsi="바탕체" w:eastAsia="바탕체" w:cs="바탕체"/>
                      <w:b/>
                      <w:sz w:val="20"/>
                      <w:u w:val="none"/>
                    </w:rPr>
                    <w:br/>
                  </w:r>
                  <w:r>
                    <w:rPr>
                      <w:rFonts w:ascii="바탕체" w:hAnsi="바탕체" w:eastAsia="바탕체" w:cs="바탕체"/>
                      <w:b/>
                      <w:sz w:val="20"/>
                      <w:u w:val="none"/>
                    </w:rPr>
                    <w:t>근거 인용</w:t>
                  </w:r>
                </w:p>
              </w:tc>
              <w:tc>
                <w:tcPr>
                  <w:tcW w:type="dxa" w:w="1257"/>
                  <w:vAlign w:val="center"/>
                </w:tcPr>
                <w:p>
                  <w:pPr>
                    <w:spacing w:before="0" w:after="0" w:line="240" w:lineRule="auto"/>
                    <w:jc w:val="center"/>
                  </w:pPr>
                  <w:r>
                    <w:rPr>
                      <w:rFonts w:ascii="바탕체" w:hAnsi="바탕체" w:eastAsia="바탕체" w:cs="바탕체"/>
                      <w:b/>
                      <w:sz w:val="20"/>
                      <w:u w:val="none"/>
                    </w:rPr>
                    <w:t>register</w:t>
                  </w:r>
                  <w:r>
                    <w:rPr>
                      <w:rFonts w:ascii="바탕체" w:hAnsi="바탕체" w:eastAsia="바탕체" w:cs="바탕체"/>
                      <w:b/>
                      <w:sz w:val="20"/>
                      <w:u w:val="none"/>
                    </w:rPr>
                    <w:br/>
                  </w:r>
                  <w:r>
                    <w:rPr>
                      <w:rFonts w:ascii="바탕체" w:hAnsi="바탕체" w:eastAsia="바탕체" w:cs="바탕체"/>
                      <w:b/>
                      <w:sz w:val="20"/>
                      <w:u w:val="none"/>
                    </w:rPr>
                    <w:t>현업 확정</w:t>
                  </w:r>
                </w:p>
              </w:tc>
            </w:tr>
          </w:tbl>
          <w:p/>
          <w:p>
            <w:pPr>
              <w:spacing w:before="60" w:after="100" w:line="240" w:lineRule="auto"/>
              <w:jc w:val="center"/>
            </w:pPr>
            <w:r>
              <w:rPr>
                <w:rFonts w:ascii="바탕체" w:hAnsi="바탕체" w:eastAsia="바탕체" w:cs="바탕체"/>
                <w:b w:val="0"/>
                <w:color w:val="C00000"/>
                <w:sz w:val="20"/>
                <w:u w:val="none"/>
              </w:rPr>
              <w:t>※ 붉은 영역 = 엔지니어 수작업을 Agent 가 그대로 대체한 구간　/　⑤ 실행은 승인 뒤에만</w:t>
            </w:r>
          </w:p>
          <w:tbl>
            <w:tblPr>
              <w:tblStyle w:val="TableGrid"/>
              <w:tblW w:type="dxa" w:w="7540"/>
              <w:tblLayout w:type="fixed"/>
              <w:tblLook w:firstColumn="1" w:firstRow="1" w:lastColumn="0" w:lastRow="0" w:noHBand="0" w:noVBand="1" w:val="04A0"/>
            </w:tblPr>
            <w:tblGrid>
              <w:gridCol w:w="1077"/>
              <w:gridCol w:w="2777"/>
              <w:gridCol w:w="3685"/>
            </w:tblGrid>
            <w:tr>
              <w:trPr>
                <w:trHeight w:hRule="atLeast" w:val="272"/>
              </w:trPr>
              <w:tc>
                <w:tcPr>
                  <w:tcW w:type="dxa" w:w="1077"/>
                  <w:vAlign w:val="center"/>
                  <w:shd w:val="clear" w:color="auto" w:fill="F2F2F2"/>
                </w:tcPr>
                <w:p>
                  <w:pPr>
                    <w:spacing w:before="0" w:after="0" w:line="240" w:lineRule="auto"/>
                    <w:jc w:val="center"/>
                  </w:pPr>
                  <w:r>
                    <w:rPr>
                      <w:rFonts w:ascii="바탕체" w:hAnsi="바탕체" w:eastAsia="바탕체" w:cs="바탕체"/>
                      <w:b/>
                      <w:sz w:val="20"/>
                      <w:u w:val="none"/>
                    </w:rPr>
                    <w:t>단계</w:t>
                  </w:r>
                </w:p>
              </w:tc>
              <w:tc>
                <w:tcPr>
                  <w:tcW w:type="dxa" w:w="2778"/>
                  <w:vAlign w:val="center"/>
                  <w:shd w:val="clear" w:color="auto" w:fill="F2F2F2"/>
                </w:tcPr>
                <w:p>
                  <w:pPr>
                    <w:spacing w:before="0" w:after="0" w:line="240" w:lineRule="auto"/>
                    <w:jc w:val="center"/>
                  </w:pPr>
                  <w:r>
                    <w:rPr>
                      <w:rFonts w:ascii="바탕체" w:hAnsi="바탕체" w:eastAsia="바탕체" w:cs="바탕체"/>
                      <w:b/>
                      <w:sz w:val="20"/>
                      <w:u w:val="none"/>
                    </w:rPr>
                    <w:t>AS-IS — 엔지니어 수작업</w:t>
                  </w:r>
                </w:p>
              </w:tc>
              <w:tc>
                <w:tcPr>
                  <w:tcW w:type="dxa" w:w="3685"/>
                  <w:vAlign w:val="center"/>
                  <w:shd w:val="clear" w:color="auto" w:fill="F2F2F2"/>
                </w:tcPr>
                <w:p>
                  <w:pPr>
                    <w:spacing w:before="0" w:after="0" w:line="240" w:lineRule="auto"/>
                    <w:jc w:val="center"/>
                  </w:pPr>
                  <w:r>
                    <w:rPr>
                      <w:rFonts w:ascii="바탕체" w:hAnsi="바탕체" w:eastAsia="바탕체" w:cs="바탕체"/>
                      <w:b/>
                      <w:sz w:val="20"/>
                      <w:u w:val="none"/>
                    </w:rPr>
                    <w:t>TO-BE — Agent 가 수행</w:t>
                  </w:r>
                </w:p>
              </w:tc>
            </w:tr>
            <w:tr>
              <w:tc>
                <w:tcPr>
                  <w:tcW w:type="dxa" w:w="1077"/>
                  <w:vAlign w:val="center"/>
                  <w:shd w:val="clear" w:color="auto" w:fill="FBE4E4"/>
                  <w:tcBorders>
                    <w:top w:val="single" w:sz="8" w:space="0" w:color="C00000"/>
                    <w:bottom w:val="single" w:sz="8" w:space="0" w:color="C00000"/>
                  </w:tcBorders>
                </w:tcPr>
                <w:p>
                  <w:pPr>
                    <w:spacing w:before="0" w:after="0" w:line="240" w:lineRule="auto"/>
                    <w:jc w:val="center"/>
                  </w:pPr>
                  <w:r>
                    <w:rPr>
                      <w:rFonts w:ascii="바탕체" w:hAnsi="바탕체" w:eastAsia="바탕체" w:cs="바탕체"/>
                      <w:b/>
                      <w:sz w:val="20"/>
                      <w:u w:val="none"/>
                    </w:rPr>
                    <w:t>① 트렌드</w:t>
                  </w:r>
                  <w:r>
                    <w:rPr>
                      <w:rFonts w:ascii="바탕체" w:hAnsi="바탕체" w:eastAsia="바탕체" w:cs="바탕체"/>
                      <w:b/>
                      <w:sz w:val="20"/>
                      <w:u w:val="none"/>
                    </w:rPr>
                    <w:br/>
                  </w:r>
                  <w:r>
                    <w:rPr>
                      <w:rFonts w:ascii="바탕체" w:hAnsi="바탕체" w:eastAsia="바탕체" w:cs="바탕체"/>
                      <w:b/>
                      <w:sz w:val="20"/>
                      <w:u w:val="none"/>
                    </w:rPr>
                    <w:t>확인</w:t>
                  </w:r>
                </w:p>
              </w:tc>
              <w:tc>
                <w:tcPr>
                  <w:tcW w:type="dxa" w:w="2778"/>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SPC 화면을 열어 lot·chamber 를 바꿔가며 trend 를 직접 본다  (수 분)</w:t>
                  </w:r>
                </w:p>
              </w:tc>
              <w:tc>
                <w:tcPr>
                  <w:tcW w:type="dxa" w:w="3685"/>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Trend Agent 가 07/26 02:14 부터 CD +0.8nm 변화점을 자동 검출한다  (수 초)</w:t>
                  </w:r>
                </w:p>
              </w:tc>
            </w:tr>
            <w:tr>
              <w:tc>
                <w:tcPr>
                  <w:tcW w:type="dxa" w:w="1077"/>
                  <w:vAlign w:val="center"/>
                  <w:shd w:val="clear" w:color="auto" w:fill="FBE4E4"/>
                  <w:tcBorders>
                    <w:top w:val="single" w:sz="8" w:space="0" w:color="C00000"/>
                    <w:bottom w:val="single" w:sz="8" w:space="0" w:color="C00000"/>
                  </w:tcBorders>
                </w:tcPr>
                <w:p>
                  <w:pPr>
                    <w:spacing w:before="0" w:after="0" w:line="240" w:lineRule="auto"/>
                    <w:jc w:val="center"/>
                  </w:pPr>
                  <w:r>
                    <w:rPr>
                      <w:rFonts w:ascii="바탕체" w:hAnsi="바탕체" w:eastAsia="바탕체" w:cs="바탕체"/>
                      <w:b/>
                      <w:sz w:val="20"/>
                      <w:u w:val="none"/>
                    </w:rPr>
                    <w:t>② 불량 Map</w:t>
                  </w:r>
                  <w:r>
                    <w:rPr>
                      <w:rFonts w:ascii="바탕체" w:hAnsi="바탕체" w:eastAsia="바탕체" w:cs="바탕체"/>
                      <w:b/>
                      <w:sz w:val="20"/>
                      <w:u w:val="none"/>
                    </w:rPr>
                    <w:br/>
                  </w:r>
                  <w:r>
                    <w:rPr>
                      <w:rFonts w:ascii="바탕체" w:hAnsi="바탕체" w:eastAsia="바탕체" w:cs="바탕체"/>
                      <w:b/>
                      <w:sz w:val="20"/>
                      <w:u w:val="none"/>
                    </w:rPr>
                    <w:t>판독</w:t>
                  </w:r>
                </w:p>
              </w:tc>
              <w:tc>
                <w:tcPr>
                  <w:tcW w:type="dxa" w:w="2778"/>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이번 lot Failbit Map 을 열어 불량 분포를 눈으로 확인한다  (수십 분)</w:t>
                  </w:r>
                </w:p>
              </w:tc>
              <w:tc>
                <w:tcPr>
                  <w:tcW w:type="dxa" w:w="3685"/>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Image Agent 가 edge 국부 집중을 판독하고 Focus 편차형 소견을 붙인다  (수 초)</w:t>
                  </w:r>
                </w:p>
              </w:tc>
            </w:tr>
            <w:tr>
              <w:tc>
                <w:tcPr>
                  <w:tcW w:type="dxa" w:w="1077"/>
                  <w:vAlign w:val="center"/>
                  <w:shd w:val="clear" w:color="auto" w:fill="FBE4E4"/>
                  <w:tcBorders>
                    <w:top w:val="single" w:sz="8" w:space="0" w:color="C00000"/>
                    <w:bottom w:val="single" w:sz="8" w:space="0" w:color="C00000"/>
                  </w:tcBorders>
                </w:tcPr>
                <w:p>
                  <w:pPr>
                    <w:spacing w:before="0" w:after="0" w:line="240" w:lineRule="auto"/>
                    <w:jc w:val="center"/>
                  </w:pPr>
                  <w:r>
                    <w:rPr>
                      <w:rFonts w:ascii="바탕체" w:hAnsi="바탕체" w:eastAsia="바탕체" w:cs="바탕체"/>
                      <w:b/>
                      <w:sz w:val="20"/>
                      <w:u w:val="none"/>
                    </w:rPr>
                    <w:t>③ 과거 사례</w:t>
                  </w:r>
                  <w:r>
                    <w:rPr>
                      <w:rFonts w:ascii="바탕체" w:hAnsi="바탕체" w:eastAsia="바탕체" w:cs="바탕체"/>
                      <w:b/>
                      <w:sz w:val="20"/>
                      <w:u w:val="none"/>
                    </w:rPr>
                    <w:br/>
                  </w:r>
                  <w:r>
                    <w:rPr>
                      <w:rFonts w:ascii="바탕체" w:hAnsi="바탕체" w:eastAsia="바탕체" w:cs="바탕체"/>
                      <w:b/>
                      <w:sz w:val="20"/>
                      <w:u w:val="none"/>
                    </w:rPr>
                    <w:t>대조</w:t>
                  </w:r>
                </w:p>
              </w:tc>
              <w:tc>
                <w:tcPr>
                  <w:tcW w:type="dxa" w:w="2778"/>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어디서 본 패턴인데 — 과거 사고 이미지와 Note 를 뒤져 하나씩 대조한다  (반나절)</w:t>
                  </w:r>
                </w:p>
              </w:tc>
              <w:tc>
                <w:tcPr>
                  <w:tcW w:type="dxa" w:w="3685"/>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이미지 유사도로 닮은 사고를 좁히고, 그 메타 키로 원인·조치 이력을 정확히 끌어온다  (수 초)</w:t>
                  </w:r>
                </w:p>
              </w:tc>
            </w:tr>
            <w:tr>
              <w:tc>
                <w:tcPr>
                  <w:tcW w:type="dxa" w:w="1077"/>
                  <w:vAlign w:val="center"/>
                  <w:shd w:val="clear" w:color="auto" w:fill="FBE4E4"/>
                  <w:tcBorders>
                    <w:top w:val="single" w:sz="8" w:space="0" w:color="C00000"/>
                    <w:bottom w:val="single" w:sz="8" w:space="0" w:color="C00000"/>
                  </w:tcBorders>
                </w:tcPr>
                <w:p>
                  <w:pPr>
                    <w:spacing w:before="0" w:after="0" w:line="240" w:lineRule="auto"/>
                    <w:jc w:val="center"/>
                  </w:pPr>
                  <w:r>
                    <w:rPr>
                      <w:rFonts w:ascii="바탕체" w:hAnsi="바탕체" w:eastAsia="바탕체" w:cs="바탕체"/>
                      <w:b/>
                      <w:sz w:val="20"/>
                      <w:u w:val="none"/>
                    </w:rPr>
                    <w:t>④ 설비 이력</w:t>
                  </w:r>
                  <w:r>
                    <w:rPr>
                      <w:rFonts w:ascii="바탕체" w:hAnsi="바탕체" w:eastAsia="바탕체" w:cs="바탕체"/>
                      <w:b/>
                      <w:sz w:val="20"/>
                      <w:u w:val="none"/>
                    </w:rPr>
                    <w:br/>
                  </w:r>
                  <w:r>
                    <w:rPr>
                      <w:rFonts w:ascii="바탕체" w:hAnsi="바탕체" w:eastAsia="바탕체" w:cs="바탕체"/>
                      <w:b/>
                      <w:sz w:val="20"/>
                      <w:u w:val="none"/>
                    </w:rPr>
                    <w:t>조회</w:t>
                  </w:r>
                </w:p>
              </w:tc>
              <w:tc>
                <w:tcPr>
                  <w:tcW w:type="dxa" w:w="2778"/>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의심 시점 확인차 MES·SPC 에 접속해 PM·변경점 이력을 조회한다  (수십 분)</w:t>
                  </w:r>
                </w:p>
              </w:tc>
              <w:tc>
                <w:tcPr>
                  <w:tcW w:type="dxa" w:w="3685"/>
                  <w:shd w:val="clear" w:color="auto" w:fill="FBE4E4"/>
                  <w:tcBorders>
                    <w:top w:val="single" w:sz="8" w:space="0" w:color="C00000"/>
                    <w:bottom w:val="single" w:sz="8" w:space="0" w:color="C00000"/>
                  </w:tcBorders>
                </w:tcPr>
                <w:p>
                  <w:pPr>
                    <w:spacing w:before="0" w:after="0" w:line="240" w:lineRule="auto"/>
                  </w:pPr>
                  <w:r>
                    <w:rPr>
                      <w:rFonts w:ascii="바탕체" w:hAnsi="바탕체" w:eastAsia="바탕체" w:cs="바탕체"/>
                      <w:b w:val="0"/>
                      <w:sz w:val="20"/>
                      <w:u w:val="none"/>
                    </w:rPr>
                    <w:t>사내 시스템 조회 도구가 PM 직후 Focus 재보정 누락을 찾아낸다  (수 초)</w:t>
                  </w:r>
                </w:p>
              </w:tc>
            </w:tr>
            <w:tr>
              <w:tc>
                <w:tcPr>
                  <w:tcW w:type="dxa" w:w="1077"/>
                  <w:vAlign w:val="center"/>
                </w:tcPr>
                <w:p>
                  <w:pPr>
                    <w:spacing w:before="0" w:after="0" w:line="240" w:lineRule="auto"/>
                    <w:jc w:val="center"/>
                  </w:pPr>
                  <w:r>
                    <w:rPr>
                      <w:rFonts w:ascii="바탕체" w:hAnsi="바탕체" w:eastAsia="바탕체" w:cs="바탕체"/>
                      <w:b/>
                      <w:sz w:val="20"/>
                      <w:u w:val="none"/>
                    </w:rPr>
                    <w:t>⑤ 결론·조치</w:t>
                  </w:r>
                </w:p>
              </w:tc>
              <w:tc>
                <w:tcPr>
                  <w:tcW w:type="dxa" w:w="2778"/>
                </w:tcPr>
                <w:p>
                  <w:pPr>
                    <w:spacing w:before="0" w:after="0" w:line="240" w:lineRule="auto"/>
                  </w:pPr>
                  <w:r>
                    <w:rPr>
                      <w:rFonts w:ascii="바탕체" w:hAnsi="바탕체" w:eastAsia="바탕체" w:cs="바탕체"/>
                      <w:b w:val="0"/>
                      <w:sz w:val="20"/>
                      <w:u w:val="none"/>
                    </w:rPr>
                    <w:t>보고서를 쓰고 회의를 소집한 뒤 조치 품의·결재를 올린다  (수 시간)</w:t>
                  </w:r>
                </w:p>
              </w:tc>
              <w:tc>
                <w:tcPr>
                  <w:tcW w:type="dxa" w:w="3685"/>
                </w:tcPr>
                <w:p>
                  <w:pPr>
                    <w:spacing w:before="0" w:after="0" w:line="240" w:lineRule="auto"/>
                  </w:pPr>
                  <w:r>
                    <w:rPr>
                      <w:rFonts w:ascii="바탕체" w:hAnsi="바탕체" w:eastAsia="바탕체" w:cs="바탕체"/>
                      <w:b w:val="0"/>
                      <w:sz w:val="20"/>
                      <w:u w:val="none"/>
                    </w:rPr>
                    <w:t>근거 3종을 인용한 판정 보고서와 조치안을 생성한다. 실행은 승인 뒤 기간시스템에 반영한다  (수 초)</w:t>
                  </w:r>
                </w:p>
              </w:tc>
            </w:tr>
          </w:tbl>
          <w:p/>
          <w:p>
            <w:pPr>
              <w:spacing w:before="120" w:after="40" w:line="240" w:lineRule="auto"/>
            </w:pPr>
            <w:r>
              <w:rPr>
                <w:rFonts w:ascii="바탕체" w:hAnsi="바탕체" w:eastAsia="바탕체" w:cs="바탕체"/>
                <w:b/>
                <w:sz w:val="20"/>
                <w:u w:val="none"/>
              </w:rPr>
              <w:t>2. 조치는 다섯 단계로 올라간다 — 마지막 단계가 자동조치다</w:t>
            </w:r>
          </w:p>
          <w:tbl>
            <w:tblPr>
              <w:tblStyle w:val="TableGrid"/>
              <w:tblW w:type="dxa" w:w="7540"/>
              <w:tblLayout w:type="fixed"/>
              <w:tblLook w:firstColumn="1" w:firstRow="1" w:lastColumn="0" w:lastRow="0" w:noHBand="0" w:noVBand="1" w:val="04A0"/>
            </w:tblPr>
            <w:tblGrid>
              <w:gridCol w:w="1247"/>
              <w:gridCol w:w="3004"/>
              <w:gridCol w:w="1700"/>
              <w:gridCol w:w="1587"/>
            </w:tblGrid>
            <w:tr>
              <w:trPr>
                <w:trHeight w:hRule="atLeast" w:val="272"/>
              </w:trPr>
              <w:tc>
                <w:tcPr>
                  <w:tcW w:type="dxa" w:w="1247"/>
                  <w:vAlign w:val="center"/>
                  <w:shd w:val="clear" w:color="auto" w:fill="F2F2F2"/>
                </w:tcPr>
                <w:p>
                  <w:pPr>
                    <w:spacing w:before="0" w:after="0" w:line="240" w:lineRule="auto"/>
                    <w:jc w:val="center"/>
                  </w:pPr>
                  <w:r>
                    <w:rPr>
                      <w:rFonts w:ascii="바탕체" w:hAnsi="바탕체" w:eastAsia="바탕체" w:cs="바탕체"/>
                      <w:b/>
                      <w:sz w:val="20"/>
                      <w:u w:val="none"/>
                    </w:rPr>
                    <w:t>단계</w:t>
                  </w:r>
                </w:p>
              </w:tc>
              <w:tc>
                <w:tcPr>
                  <w:tcW w:type="dxa" w:w="3005"/>
                  <w:vAlign w:val="center"/>
                  <w:shd w:val="clear" w:color="auto" w:fill="F2F2F2"/>
                </w:tcPr>
                <w:p>
                  <w:pPr>
                    <w:spacing w:before="0" w:after="0" w:line="240" w:lineRule="auto"/>
                    <w:jc w:val="center"/>
                  </w:pPr>
                  <w:r>
                    <w:rPr>
                      <w:rFonts w:ascii="바탕체" w:hAnsi="바탕체" w:eastAsia="바탕체" w:cs="바탕체"/>
                      <w:b/>
                      <w:sz w:val="20"/>
                      <w:u w:val="none"/>
                    </w:rPr>
                    <w:t>하는 일</w:t>
                  </w:r>
                </w:p>
              </w:tc>
              <w:tc>
                <w:tcPr>
                  <w:tcW w:type="dxa" w:w="1701"/>
                  <w:vAlign w:val="center"/>
                  <w:shd w:val="clear" w:color="auto" w:fill="F2F2F2"/>
                </w:tcPr>
                <w:p>
                  <w:pPr>
                    <w:spacing w:before="0" w:after="0" w:line="240" w:lineRule="auto"/>
                    <w:jc w:val="center"/>
                  </w:pPr>
                  <w:r>
                    <w:rPr>
                      <w:rFonts w:ascii="바탕체" w:hAnsi="바탕체" w:eastAsia="바탕체" w:cs="바탕체"/>
                      <w:b/>
                      <w:sz w:val="20"/>
                      <w:u w:val="none"/>
                    </w:rPr>
                    <w:t>1차년</w:t>
                  </w:r>
                </w:p>
              </w:tc>
              <w:tc>
                <w:tcPr>
                  <w:tcW w:type="dxa" w:w="1587"/>
                  <w:vAlign w:val="center"/>
                  <w:shd w:val="clear" w:color="auto" w:fill="F2F2F2"/>
                </w:tcPr>
                <w:p>
                  <w:pPr>
                    <w:spacing w:before="0" w:after="0" w:line="240" w:lineRule="auto"/>
                    <w:jc w:val="center"/>
                  </w:pPr>
                  <w:r>
                    <w:rPr>
                      <w:rFonts w:ascii="바탕체" w:hAnsi="바탕체" w:eastAsia="바탕체" w:cs="바탕체"/>
                      <w:b/>
                      <w:sz w:val="20"/>
                      <w:u w:val="none"/>
                    </w:rPr>
                    <w:t>2차년</w:t>
                  </w:r>
                </w:p>
              </w:tc>
            </w:tr>
            <w:tr>
              <w:tc>
                <w:tcPr>
                  <w:tcW w:type="dxa" w:w="1247"/>
                  <w:vAlign w:val="center"/>
                </w:tcPr>
                <w:p>
                  <w:pPr>
                    <w:spacing w:before="0" w:after="0" w:line="240" w:lineRule="auto"/>
                    <w:jc w:val="center"/>
                  </w:pPr>
                  <w:r>
                    <w:rPr>
                      <w:rFonts w:ascii="바탕체" w:hAnsi="바탕체" w:eastAsia="바탕체" w:cs="바탕체"/>
                      <w:b/>
                      <w:sz w:val="20"/>
                      <w:u w:val="none"/>
                    </w:rPr>
                    <w:t>① 알림 통보</w:t>
                  </w:r>
                </w:p>
              </w:tc>
              <w:tc>
                <w:tcPr>
                  <w:tcW w:type="dxa" w:w="3005"/>
                </w:tcPr>
                <w:p>
                  <w:pPr>
                    <w:spacing w:before="0" w:after="0" w:line="240" w:lineRule="auto"/>
                  </w:pPr>
                  <w:r>
                    <w:rPr>
                      <w:rFonts w:ascii="바탕체" w:hAnsi="바탕체" w:eastAsia="바탕체" w:cs="바탕체"/>
                      <w:b w:val="0"/>
                      <w:sz w:val="20"/>
                      <w:u w:val="none"/>
                    </w:rPr>
                    <w:t>CD 급등 발생 — 이상 알림만 전달</w:t>
                  </w:r>
                </w:p>
              </w:tc>
              <w:tc>
                <w:tcPr>
                  <w:tcW w:type="dxa" w:w="1701"/>
                </w:tcPr>
                <w:p>
                  <w:pPr>
                    <w:spacing w:before="0" w:after="0" w:line="240" w:lineRule="auto"/>
                  </w:pPr>
                  <w:r>
                    <w:rPr>
                      <w:rFonts w:ascii="바탕체" w:hAnsi="바탕체" w:eastAsia="바탕체" w:cs="바탕체"/>
                      <w:b w:val="0"/>
                      <w:sz w:val="20"/>
                      <w:u w:val="none"/>
                    </w:rPr>
                    <w:t>즉시</w:t>
                  </w:r>
                </w:p>
              </w:tc>
              <w:tc>
                <w:tcPr>
                  <w:tcW w:type="dxa" w:w="1587"/>
                </w:tcPr>
                <w:p>
                  <w:pPr>
                    <w:spacing w:before="0" w:after="0" w:line="240" w:lineRule="auto"/>
                  </w:pPr>
                  <w:r>
                    <w:rPr>
                      <w:rFonts w:ascii="바탕체" w:hAnsi="바탕체" w:eastAsia="바탕체" w:cs="바탕체"/>
                      <w:b w:val="0"/>
                      <w:sz w:val="20"/>
                      <w:u w:val="none"/>
                    </w:rPr>
                    <w:t>즉시</w:t>
                  </w:r>
                </w:p>
              </w:tc>
            </w:tr>
            <w:tr>
              <w:tc>
                <w:tcPr>
                  <w:tcW w:type="dxa" w:w="1247"/>
                  <w:vAlign w:val="center"/>
                </w:tcPr>
                <w:p>
                  <w:pPr>
                    <w:spacing w:before="0" w:after="0" w:line="240" w:lineRule="auto"/>
                    <w:jc w:val="center"/>
                  </w:pPr>
                  <w:r>
                    <w:rPr>
                      <w:rFonts w:ascii="바탕체" w:hAnsi="바탕체" w:eastAsia="바탕체" w:cs="바탕체"/>
                      <w:b/>
                      <w:sz w:val="20"/>
                      <w:u w:val="none"/>
                    </w:rPr>
                    <w:t>② 참고 공유</w:t>
                  </w:r>
                </w:p>
              </w:tc>
              <w:tc>
                <w:tcPr>
                  <w:tcW w:type="dxa" w:w="3005"/>
                </w:tcPr>
                <w:p>
                  <w:pPr>
                    <w:spacing w:before="0" w:after="0" w:line="240" w:lineRule="auto"/>
                  </w:pPr>
                  <w:r>
                    <w:rPr>
                      <w:rFonts w:ascii="바탕체" w:hAnsi="바탕체" w:eastAsia="바탕체" w:cs="바탕체"/>
                      <w:b w:val="0"/>
                      <w:sz w:val="20"/>
                      <w:u w:val="none"/>
                    </w:rPr>
                    <w:t>불량 유형(edge 집중) 소견을 함께 통보</w:t>
                  </w:r>
                </w:p>
              </w:tc>
              <w:tc>
                <w:tcPr>
                  <w:tcW w:type="dxa" w:w="1701"/>
                </w:tcPr>
                <w:p>
                  <w:pPr>
                    <w:spacing w:before="0" w:after="0" w:line="240" w:lineRule="auto"/>
                  </w:pPr>
                  <w:r>
                    <w:rPr>
                      <w:rFonts w:ascii="바탕체" w:hAnsi="바탕체" w:eastAsia="바탕체" w:cs="바탕체"/>
                      <w:b w:val="0"/>
                      <w:sz w:val="20"/>
                      <w:u w:val="none"/>
                    </w:rPr>
                    <w:t>즉시</w:t>
                  </w:r>
                </w:p>
              </w:tc>
              <w:tc>
                <w:tcPr>
                  <w:tcW w:type="dxa" w:w="1587"/>
                </w:tcPr>
                <w:p>
                  <w:pPr>
                    <w:spacing w:before="0" w:after="0" w:line="240" w:lineRule="auto"/>
                  </w:pPr>
                  <w:r>
                    <w:rPr>
                      <w:rFonts w:ascii="바탕체" w:hAnsi="바탕체" w:eastAsia="바탕체" w:cs="바탕체"/>
                      <w:b w:val="0"/>
                      <w:sz w:val="20"/>
                      <w:u w:val="none"/>
                    </w:rPr>
                    <w:t>즉시</w:t>
                  </w:r>
                </w:p>
              </w:tc>
            </w:tr>
            <w:tr>
              <w:tc>
                <w:tcPr>
                  <w:tcW w:type="dxa" w:w="1247"/>
                  <w:vAlign w:val="center"/>
                </w:tcPr>
                <w:p>
                  <w:pPr>
                    <w:spacing w:before="0" w:after="0" w:line="240" w:lineRule="auto"/>
                    <w:jc w:val="center"/>
                  </w:pPr>
                  <w:r>
                    <w:rPr>
                      <w:rFonts w:ascii="바탕체" w:hAnsi="바탕체" w:eastAsia="바탕체" w:cs="바탕체"/>
                      <w:b/>
                      <w:sz w:val="20"/>
                      <w:u w:val="none"/>
                    </w:rPr>
                    <w:t>③ 권고</w:t>
                  </w:r>
                </w:p>
              </w:tc>
              <w:tc>
                <w:tcPr>
                  <w:tcW w:type="dxa" w:w="3005"/>
                </w:tcPr>
                <w:p>
                  <w:pPr>
                    <w:spacing w:before="0" w:after="0" w:line="240" w:lineRule="auto"/>
                  </w:pPr>
                  <w:r>
                    <w:rPr>
                      <w:rFonts w:ascii="바탕체" w:hAnsi="바탕체" w:eastAsia="바탕체" w:cs="바탕체"/>
                      <w:b w:val="0"/>
                      <w:sz w:val="20"/>
                      <w:u w:val="none"/>
                    </w:rPr>
                    <w:t>노광계 우선 점검을 권고</w:t>
                  </w:r>
                </w:p>
              </w:tc>
              <w:tc>
                <w:tcPr>
                  <w:tcW w:type="dxa" w:w="1701"/>
                </w:tcPr>
                <w:p>
                  <w:pPr>
                    <w:spacing w:before="0" w:after="0" w:line="240" w:lineRule="auto"/>
                  </w:pPr>
                  <w:r>
                    <w:rPr>
                      <w:rFonts w:ascii="바탕체" w:hAnsi="바탕체" w:eastAsia="바탕체" w:cs="바탕체"/>
                      <w:b w:val="0"/>
                      <w:sz w:val="20"/>
                      <w:u w:val="none"/>
                    </w:rPr>
                    <w:t>즉시</w:t>
                  </w:r>
                </w:p>
              </w:tc>
              <w:tc>
                <w:tcPr>
                  <w:tcW w:type="dxa" w:w="1587"/>
                </w:tcPr>
                <w:p>
                  <w:pPr>
                    <w:spacing w:before="0" w:after="0" w:line="240" w:lineRule="auto"/>
                  </w:pPr>
                  <w:r>
                    <w:rPr>
                      <w:rFonts w:ascii="바탕체" w:hAnsi="바탕체" w:eastAsia="바탕체" w:cs="바탕체"/>
                      <w:b w:val="0"/>
                      <w:sz w:val="20"/>
                      <w:u w:val="none"/>
                    </w:rPr>
                    <w:t>즉시</w:t>
                  </w:r>
                </w:p>
              </w:tc>
            </w:tr>
            <w:tr>
              <w:tc>
                <w:tcPr>
                  <w:tcW w:type="dxa" w:w="1247"/>
                  <w:vAlign w:val="center"/>
                </w:tcPr>
                <w:p>
                  <w:pPr>
                    <w:spacing w:before="0" w:after="0" w:line="240" w:lineRule="auto"/>
                    <w:jc w:val="center"/>
                  </w:pPr>
                  <w:r>
                    <w:rPr>
                      <w:rFonts w:ascii="바탕체" w:hAnsi="바탕체" w:eastAsia="바탕체" w:cs="바탕체"/>
                      <w:b/>
                      <w:sz w:val="20"/>
                      <w:u w:val="none"/>
                    </w:rPr>
                    <w:t>④ Hold</w:t>
                  </w:r>
                </w:p>
              </w:tc>
              <w:tc>
                <w:tcPr>
                  <w:tcW w:type="dxa" w:w="3005"/>
                </w:tcPr>
                <w:p>
                  <w:pPr>
                    <w:spacing w:before="0" w:after="0" w:line="240" w:lineRule="auto"/>
                  </w:pPr>
                  <w:r>
                    <w:rPr>
                      <w:rFonts w:ascii="바탕체" w:hAnsi="바탕체" w:eastAsia="바탕체" w:cs="바탕체"/>
                      <w:b w:val="0"/>
                      <w:sz w:val="20"/>
                      <w:u w:val="none"/>
                    </w:rPr>
                    <w:t>해당 lot Hold 와 점검 요청</w:t>
                  </w:r>
                </w:p>
              </w:tc>
              <w:tc>
                <w:tcPr>
                  <w:tcW w:type="dxa" w:w="1701"/>
                </w:tcPr>
                <w:p>
                  <w:pPr>
                    <w:spacing w:before="0" w:after="0" w:line="240" w:lineRule="auto"/>
                  </w:pPr>
                  <w:r>
                    <w:rPr>
                      <w:rFonts w:ascii="바탕체" w:hAnsi="바탕체" w:eastAsia="바탕체" w:cs="바탕체"/>
                      <w:b w:val="0"/>
                      <w:sz w:val="20"/>
                      <w:u w:val="none"/>
                    </w:rPr>
                    <w:t>전건 승인 후 실행</w:t>
                  </w:r>
                </w:p>
              </w:tc>
              <w:tc>
                <w:tcPr>
                  <w:tcW w:type="dxa" w:w="1587"/>
                </w:tcPr>
                <w:p>
                  <w:pPr>
                    <w:spacing w:before="0" w:after="0" w:line="240" w:lineRule="auto"/>
                  </w:pPr>
                  <w:r>
                    <w:rPr>
                      <w:rFonts w:ascii="바탕체" w:hAnsi="바탕체" w:eastAsia="바탕체" w:cs="바탕체"/>
                      <w:b w:val="0"/>
                      <w:sz w:val="20"/>
                      <w:u w:val="none"/>
                    </w:rPr>
                    <w:t>전건 승인 후 실행</w:t>
                  </w:r>
                </w:p>
              </w:tc>
            </w:tr>
            <w:tr>
              <w:tc>
                <w:tcPr>
                  <w:tcW w:type="dxa" w:w="1247"/>
                  <w:vAlign w:val="center"/>
                </w:tcPr>
                <w:p>
                  <w:pPr>
                    <w:spacing w:before="0" w:after="0" w:line="240" w:lineRule="auto"/>
                    <w:jc w:val="center"/>
                  </w:pPr>
                  <w:r>
                    <w:rPr>
                      <w:rFonts w:ascii="바탕체" w:hAnsi="바탕체" w:eastAsia="바탕체" w:cs="바탕체"/>
                      <w:b/>
                      <w:sz w:val="20"/>
                      <w:u w:val="none"/>
                    </w:rPr>
                    <w:t>⑤ 직접 실행</w:t>
                  </w:r>
                </w:p>
              </w:tc>
              <w:tc>
                <w:tcPr>
                  <w:tcW w:type="dxa" w:w="3005"/>
                </w:tcPr>
                <w:p>
                  <w:pPr>
                    <w:spacing w:before="0" w:after="0" w:line="240" w:lineRule="auto"/>
                  </w:pPr>
                  <w:r>
                    <w:rPr>
                      <w:rFonts w:ascii="바탕체" w:hAnsi="바탕체" w:eastAsia="바탕체" w:cs="바탕체"/>
                      <w:b w:val="0"/>
                      <w:sz w:val="20"/>
                      <w:u w:val="none"/>
                    </w:rPr>
                    <w:t>기간시스템에 인터락·조치 코드 발행, 보고서 공유</w:t>
                  </w:r>
                </w:p>
              </w:tc>
              <w:tc>
                <w:tcPr>
                  <w:tcW w:type="dxa" w:w="1701"/>
                </w:tcPr>
                <w:p>
                  <w:pPr>
                    <w:spacing w:before="0" w:after="0" w:line="240" w:lineRule="auto"/>
                  </w:pPr>
                  <w:r>
                    <w:rPr>
                      <w:rFonts w:ascii="바탕체" w:hAnsi="바탕체" w:eastAsia="바탕체" w:cs="바탕체"/>
                      <w:b w:val="0"/>
                      <w:sz w:val="20"/>
                      <w:u w:val="none"/>
                    </w:rPr>
                    <w:t>열지 않음</w:t>
                  </w:r>
                </w:p>
              </w:tc>
              <w:tc>
                <w:tcPr>
                  <w:tcW w:type="dxa" w:w="1587"/>
                </w:tcPr>
                <w:p>
                  <w:pPr>
                    <w:spacing w:before="0" w:after="0" w:line="240" w:lineRule="auto"/>
                  </w:pPr>
                  <w:r>
                    <w:rPr>
                      <w:rFonts w:ascii="바탕체" w:hAnsi="바탕체" w:eastAsia="바탕체" w:cs="바탕체"/>
                      <w:b w:val="0"/>
                      <w:sz w:val="20"/>
                      <w:u w:val="none"/>
                    </w:rPr>
                    <w:t>화이트리스트 승격 후</w:t>
                  </w:r>
                </w:p>
              </w:tc>
            </w:tr>
          </w:tbl>
          <w:p/>
          <w:p>
            <w:pPr>
              <w:spacing w:before="60" w:after="40" w:line="240" w:lineRule="auto"/>
              <w:ind w:left="227"/>
            </w:pPr>
            <w:r>
              <w:rPr>
                <w:rFonts w:ascii="바탕체" w:hAnsi="바탕체" w:eastAsia="바탕체" w:cs="바탕체"/>
                <w:b w:val="0"/>
                <w:sz w:val="20"/>
                <w:u w:val="none"/>
              </w:rPr>
              <w:t>모든 시나리오는 승인 대상으로 시작한다. 제안과 승인을 반복해 시나리오별 승인율과 오탐율이 쌓이면 기준을 넘긴 것만 개별 심의로 자동조치에 올린다. 승격 뒤에도 실행 내역은 전건 사후 리뷰하고, 설비 제어성 조치는 2차년에도 승인 대상으로 남긴다.</w:t>
            </w:r>
          </w:p>
          <w:p>
            <w:pPr>
              <w:spacing w:before="120" w:after="40" w:line="240" w:lineRule="auto"/>
            </w:pPr>
            <w:r>
              <w:rPr>
                <w:rFonts w:ascii="바탕체" w:hAnsi="바탕체" w:eastAsia="바탕체" w:cs="바탕체"/>
                <w:b/>
                <w:sz w:val="20"/>
                <w:u w:val="none"/>
              </w:rPr>
              <w:t>3. 단일 기능 개선이 아니다 — 시작·중간·끝을 모두 바꿨다</w:t>
            </w:r>
          </w:p>
          <w:p>
            <w:pPr>
              <w:spacing w:before="0" w:after="60" w:line="240" w:lineRule="auto"/>
              <w:ind w:left="425" w:hanging="198"/>
            </w:pPr>
            <w:r>
              <w:rPr>
                <w:rFonts w:ascii="바탕체" w:hAnsi="바탕체" w:eastAsia="바탕체" w:cs="바탕체"/>
                <w:b w:val="0"/>
                <w:sz w:val="20"/>
                <w:u w:val="none"/>
              </w:rPr>
              <w:t>- 시작 : 사람이 경보를 보고 인지하던 트리거를 무인 접수로 바꿨다. 업무의 출발점이 사람이 아니다.</w:t>
            </w:r>
          </w:p>
          <w:p>
            <w:pPr>
              <w:spacing w:before="0" w:after="60" w:line="240" w:lineRule="auto"/>
              <w:ind w:left="425" w:hanging="198"/>
            </w:pPr>
            <w:r>
              <w:rPr>
                <w:rFonts w:ascii="바탕체" w:hAnsi="바탕체" w:eastAsia="바탕체" w:cs="바탕체"/>
                <w:b w:val="0"/>
                <w:sz w:val="20"/>
                <w:u w:val="none"/>
              </w:rPr>
              <w:t>- 중간 : 시스템 순회라는 노동 자체가 사라졌다. 화면을 편하게 만든 게 아니라 화면 여는 일을 없앴다.</w:t>
            </w:r>
          </w:p>
          <w:p>
            <w:pPr>
              <w:spacing w:before="0" w:after="60" w:line="240" w:lineRule="auto"/>
              <w:ind w:left="425" w:hanging="198"/>
            </w:pPr>
            <w:r>
              <w:rPr>
                <w:rFonts w:ascii="바탕체" w:hAnsi="바탕체" w:eastAsia="바탕체" w:cs="바탕체"/>
                <w:b w:val="0"/>
                <w:sz w:val="20"/>
                <w:u w:val="none"/>
              </w:rPr>
              <w:t>- 끝 : 판정이 근거·신뢰도·모델 버전이 붙은 이력으로 남고, 확정된 Inform Note 가 다음 사건의 검색 자산이 된다. 업무의 끝이 다음 업무의 성능이 된다.</w:t>
            </w:r>
          </w:p>
          <w:p>
            <w:pPr>
              <w:spacing w:before="120" w:after="40" w:line="240" w:lineRule="auto"/>
            </w:pPr>
            <w:r>
              <w:rPr>
                <w:rFonts w:ascii="바탕체" w:hAnsi="바탕체" w:eastAsia="바탕체" w:cs="바탕체"/>
                <w:b/>
                <w:sz w:val="20"/>
                <w:u w:val="none"/>
              </w:rPr>
              <w:t>4. 확산 계획 — 코어를 다시 만들지 않는다</w:t>
            </w:r>
          </w:p>
          <w:p>
            <w:pPr>
              <w:spacing w:before="0" w:after="40" w:line="240" w:lineRule="auto"/>
              <w:ind w:left="425" w:hanging="198"/>
            </w:pPr>
            <w:r>
              <w:rPr>
                <w:rFonts w:ascii="바탕체" w:hAnsi="바탕체" w:eastAsia="바탕체" w:cs="바탕체"/>
                <w:b w:val="0"/>
                <w:sz w:val="20"/>
                <w:u w:val="none"/>
              </w:rPr>
              <w:t>- 확산 방법 : 공정을 늘릴 때 조사규칙 문서와 시스템지도만 추가한다. 코어도 모델도 늘지 않고, 공정이 3개로 늘어도 추가 자원을 요청하지 않는다.</w:t>
            </w:r>
          </w:p>
          <w:p>
            <w:pPr>
              <w:spacing w:before="0" w:after="40" w:line="240" w:lineRule="auto"/>
              <w:ind w:left="425" w:hanging="198"/>
            </w:pPr>
            <w:r>
              <w:rPr>
                <w:rFonts w:ascii="바탕체" w:hAnsi="바탕체" w:eastAsia="바탕체" w:cs="바탕체"/>
                <w:b w:val="0"/>
                <w:sz w:val="20"/>
                <w:u w:val="none"/>
              </w:rPr>
              <w:t>- 검증 장치 : 2차년 etch·CMP 확산의 통과 조건에 코어 변경 0 을 넣어 이 주장을 실증한다.</w:t>
            </w:r>
          </w:p>
          <w:p>
            <w:pPr>
              <w:spacing w:before="0" w:after="40" w:line="240" w:lineRule="auto"/>
              <w:ind w:left="425" w:hanging="198"/>
            </w:pPr>
            <w:r>
              <w:rPr>
                <w:rFonts w:ascii="바탕체" w:hAnsi="바탕체" w:eastAsia="바탕체" w:cs="바탕체"/>
                <w:b w:val="0"/>
                <w:sz w:val="20"/>
                <w:u w:val="none"/>
              </w:rPr>
              <w:t>- 타 조직 이관 : 확산 표준안(코어 + 공정별 조사규칙 템플릿 + 골든셋 구축 절차)을 다른 조직이 받아 자기 공정에 적용하게 만드는 것이 2차년의 명시적 목표다.</w:t>
            </w:r>
          </w:p>
        </w:tc>
      </w:tr>
    </w:tbl>
    <w:p>
      <w:pPr>
        <w:spacing w:before="0" w:after="0" w:line="120" w:lineRule="auto"/>
      </w:pPr>
      <w:r>
        <w:rPr>
          <w:rFonts w:ascii="바탕체" w:hAnsi="바탕체" w:eastAsia="바탕체" w:cs="바탕체"/>
          <w:b w:val="0"/>
          <w:sz w:val="2"/>
          <w:u w:val="none"/>
        </w:rPr>
        <w:br w:type="page"/>
      </w:r>
    </w:p>
    <w:tbl>
      <w:tblPr>
        <w:tblStyle w:val="TableGrid"/>
        <w:tblW w:type="dxa" w:w="9065"/>
        <w:tblLayout w:type="fixed"/>
        <w:tblLook w:firstColumn="1" w:firstRow="1" w:lastColumn="0" w:lastRow="0" w:noHBand="0" w:noVBand="1" w:val="04A0"/>
      </w:tblPr>
      <w:tblGrid>
        <w:gridCol w:w="1269"/>
        <w:gridCol w:w="7795"/>
      </w:tblGrid>
      <w:tr>
        <w:trPr>
          <w:trHeight w:hRule="atLeast" w:val="340"/>
        </w:trPr>
        <w:tc>
          <w:tcPr>
            <w:tcW w:type="dxa" w:w="9065"/>
            <w:gridSpan w:val="2"/>
            <w:vAlign w:val="center"/>
            <w:shd w:val="clear" w:color="auto" w:fill="F2F2F2"/>
          </w:tcPr>
          <w:p>
            <w:pPr>
              <w:spacing w:before="0" w:after="0" w:line="240" w:lineRule="auto"/>
            </w:pPr>
            <w:r>
              <w:rPr>
                <w:rFonts w:ascii="바탕체" w:hAnsi="바탕체" w:eastAsia="바탕체" w:cs="바탕체"/>
                <w:b/>
                <w:sz w:val="24"/>
                <w:u w:val="none"/>
              </w:rPr>
              <w:t>III. Tech</w:t>
            </w:r>
          </w:p>
        </w:tc>
      </w:tr>
      <w:tr>
        <w:trPr>
          <w:trHeight w:hRule="atLeast" w:val="13153"/>
        </w:trPr>
        <w:tc>
          <w:tcPr>
            <w:tcW w:type="dxa" w:w="1270"/>
            <w:vAlign w:val="top"/>
          </w:tcPr>
          <w:p>
            <w:pPr>
              <w:spacing w:before="0" w:after="0" w:line="240" w:lineRule="auto"/>
              <w:jc w:val="center"/>
            </w:pPr>
            <w:r>
              <w:rPr>
                <w:rFonts w:ascii="바탕체" w:hAnsi="바탕체" w:eastAsia="바탕체" w:cs="바탕체"/>
                <w:b/>
                <w:sz w:val="22"/>
                <w:u w:val="none"/>
              </w:rPr>
              <w:t>기술적</w:t>
            </w:r>
            <w:r>
              <w:rPr>
                <w:rFonts w:ascii="바탕체" w:hAnsi="바탕체" w:eastAsia="바탕체" w:cs="바탕체"/>
                <w:b/>
                <w:sz w:val="22"/>
                <w:u w:val="none"/>
              </w:rPr>
              <w:br/>
            </w:r>
            <w:r>
              <w:rPr>
                <w:rFonts w:ascii="바탕체" w:hAnsi="바탕체" w:eastAsia="바탕체" w:cs="바탕체"/>
                <w:b/>
                <w:sz w:val="22"/>
                <w:u w:val="none"/>
              </w:rPr>
              <w:t>해결 방안</w:t>
            </w:r>
          </w:p>
        </w:tc>
        <w:tc>
          <w:tcPr>
            <w:tcW w:type="dxa" w:w="7795"/>
            <w:vAlign w:val="top"/>
          </w:tcPr>
          <w:p>
            <w:pPr>
              <w:spacing w:before="0" w:after="40" w:line="240" w:lineRule="auto"/>
            </w:pPr>
            <w:r>
              <w:rPr>
                <w:rFonts w:ascii="바탕체" w:hAnsi="바탕체" w:eastAsia="바탕체" w:cs="바탕체"/>
                <w:b/>
                <w:sz w:val="20"/>
                <w:u w:val="none"/>
              </w:rPr>
              <w:t>1. 왜 AI Agent Orchestration 이어야 하는가</w:t>
            </w:r>
          </w:p>
          <w:p>
            <w:pPr>
              <w:spacing w:before="0" w:after="60" w:line="240" w:lineRule="auto"/>
              <w:ind w:left="425" w:hanging="198"/>
            </w:pPr>
            <w:r>
              <w:rPr>
                <w:rFonts w:ascii="바탕체" w:hAnsi="바탕체" w:eastAsia="바탕체" w:cs="바탕체"/>
                <w:b w:val="0"/>
                <w:sz w:val="20"/>
                <w:u w:val="none"/>
              </w:rPr>
              <w:t>- 조사 순서를 미리 정할 수 없다 : 무엇을 다음에 볼지가 사안마다 다르다. 규칙으로 쓰면 분기 조합이 폭발하고 새 공정이 들어올 때마다 발산한다. 결과를 보고 다음을 정하는 구조라야 한다.</w:t>
            </w:r>
          </w:p>
          <w:p>
            <w:pPr>
              <w:spacing w:before="0" w:after="60" w:line="240" w:lineRule="auto"/>
              <w:ind w:left="425" w:hanging="198"/>
            </w:pPr>
            <w:r>
              <w:rPr>
                <w:rFonts w:ascii="바탕체" w:hAnsi="바탕체" w:eastAsia="바탕체" w:cs="바탕체"/>
                <w:b w:val="0"/>
                <w:sz w:val="20"/>
                <w:u w:val="none"/>
              </w:rPr>
              <w:t>- 한 사안에 이종 모달이 섞인다 : 시계열·이미지·자연어 문서·정형 DB 를 함께 봐야 한다. 하나의 규칙 언어로도 단일 모델로도 표현되지 않는다. 그래서 전문 Agent 를 나누고 오케스트레이션한다.</w:t>
            </w:r>
          </w:p>
          <w:p>
            <w:pPr>
              <w:spacing w:before="0" w:after="60" w:line="240" w:lineRule="auto"/>
              <w:ind w:left="425" w:hanging="198"/>
            </w:pPr>
            <w:r>
              <w:rPr>
                <w:rFonts w:ascii="바탕체" w:hAnsi="바탕체" w:eastAsia="바탕체" w:cs="바탕체"/>
                <w:b w:val="0"/>
                <w:sz w:val="20"/>
                <w:u w:val="none"/>
              </w:rPr>
              <w:t>- 정답이 라벨이 아니라 근거를 갖춘 설명이다 : 분류 모델은 Hold 냐 Release 냐를 찍을 수는 있어도 왜 그런지를 원문 인용과 함께 내지 못한다. 품질 판정은 결론보다 근거가 감사 대상이다.</w:t>
            </w:r>
          </w:p>
          <w:p>
            <w:pPr>
              <w:spacing w:before="0" w:after="60" w:line="240" w:lineRule="auto"/>
              <w:ind w:left="425" w:hanging="198"/>
            </w:pPr>
            <w:r>
              <w:rPr>
                <w:rFonts w:ascii="바탕체" w:hAnsi="바탕체" w:eastAsia="바탕체" w:cs="바탕체"/>
                <w:b w:val="0"/>
                <w:sz w:val="20"/>
                <w:u w:val="none"/>
              </w:rPr>
              <w:t>- 임계 기반 자동화로는 안 걸린다 : 기존 룰은 값이 넘어야 울린다. 임계 아래에서 완만히 흐르는 shift 는 잡지 못한다. 그래서 대체하지 않고 트리거 입력으로 함께 쓴다.</w:t>
            </w:r>
          </w:p>
          <w:p>
            <w:pPr>
              <w:spacing w:before="120" w:after="40" w:line="240" w:lineRule="auto"/>
            </w:pPr>
            <w:r>
              <w:rPr>
                <w:rFonts w:ascii="바탕체" w:hAnsi="바탕체" w:eastAsia="바탕체" w:cs="바탕체"/>
                <w:b/>
                <w:sz w:val="20"/>
                <w:u w:val="none"/>
              </w:rPr>
              <w:t>2. 오케스트레이션 구성 — 마스터 Agent 가 전문 Agent 와 사내 시스템을 부린다</w:t>
            </w:r>
          </w:p>
          <w:tbl>
            <w:tblPr>
              <w:tblStyle w:val="TableGrid"/>
              <w:tblW w:type="dxa" w:w="7540"/>
              <w:tblLayout w:type="fixed"/>
              <w:tblLook w:firstColumn="1" w:firstRow="1" w:lastColumn="0" w:lastRow="0" w:noHBand="0" w:noVBand="1" w:val="04A0"/>
            </w:tblPr>
            <w:tblGrid>
              <w:gridCol w:w="1417"/>
              <w:gridCol w:w="6122"/>
            </w:tblGrid>
            <w:tr>
              <w:tc>
                <w:tcPr>
                  <w:tcW w:type="dxa" w:w="1417"/>
                  <w:vAlign w:val="center"/>
                </w:tcPr>
                <w:p>
                  <w:pPr>
                    <w:spacing w:before="0" w:after="0" w:line="240" w:lineRule="auto"/>
                    <w:jc w:val="center"/>
                  </w:pPr>
                  <w:r>
                    <w:rPr>
                      <w:rFonts w:ascii="바탕체" w:hAnsi="바탕체" w:eastAsia="바탕체" w:cs="바탕체"/>
                      <w:b/>
                      <w:sz w:val="20"/>
                      <w:u w:val="none"/>
                    </w:rPr>
                    <w:t>마스터 Agent</w:t>
                  </w:r>
                  <w:r>
                    <w:rPr>
                      <w:rFonts w:ascii="바탕체" w:hAnsi="바탕체" w:eastAsia="바탕체" w:cs="바탕체"/>
                      <w:b/>
                      <w:sz w:val="20"/>
                      <w:u w:val="none"/>
                    </w:rPr>
                    <w:br/>
                  </w:r>
                  <w:r>
                    <w:rPr>
                      <w:rFonts w:ascii="바탕체" w:hAnsi="바탕체" w:eastAsia="바탕체" w:cs="바탕체"/>
                      <w:b/>
                      <w:sz w:val="20"/>
                      <w:u w:val="none"/>
                    </w:rPr>
                    <w:t>supervisor</w:t>
                  </w:r>
                </w:p>
              </w:tc>
              <w:tc>
                <w:tcPr>
                  <w:tcW w:type="dxa" w:w="6123"/>
                </w:tcPr>
                <w:p>
                  <w:pPr>
                    <w:spacing w:before="0" w:after="0" w:line="240" w:lineRule="auto"/>
                  </w:pPr>
                  <w:r>
                    <w:rPr>
                      <w:rFonts w:ascii="바탕체" w:hAnsi="바탕체" w:eastAsia="바탕체" w:cs="바탕체"/>
                      <w:b w:val="0"/>
                      <w:sz w:val="20"/>
                      <w:u w:val="none"/>
                    </w:rPr>
                    <w:t>증상을 분류해 조사를 설계하고, 하위 Agent 와 도구를 스스로 골라 반복 호출한다. 증거를 모아 판단과 조치까지 한 흐름으로 끌고 가며, 더 부를 것이 없으면 조사를 끝낸다</w:t>
                  </w:r>
                </w:p>
              </w:tc>
            </w:tr>
            <w:tr>
              <w:tc>
                <w:tcPr>
                  <w:tcW w:type="dxa" w:w="1417"/>
                  <w:vAlign w:val="center"/>
                </w:tcPr>
                <w:p>
                  <w:pPr>
                    <w:spacing w:before="0" w:after="0" w:line="240" w:lineRule="auto"/>
                    <w:jc w:val="center"/>
                  </w:pPr>
                  <w:r>
                    <w:rPr>
                      <w:rFonts w:ascii="바탕체" w:hAnsi="바탕체" w:eastAsia="바탕체" w:cs="바탕체"/>
                      <w:b/>
                      <w:sz w:val="20"/>
                      <w:u w:val="none"/>
                    </w:rPr>
                    <w:t>Trend Agent</w:t>
                  </w:r>
                </w:p>
              </w:tc>
              <w:tc>
                <w:tcPr>
                  <w:tcW w:type="dxa" w:w="6123"/>
                </w:tcPr>
                <w:p>
                  <w:pPr>
                    <w:spacing w:before="0" w:after="0" w:line="240" w:lineRule="auto"/>
                  </w:pPr>
                  <w:r>
                    <w:rPr>
                      <w:rFonts w:ascii="바탕체" w:hAnsi="바탕체" w:eastAsia="바탕체" w:cs="바탕체"/>
                      <w:b w:val="0"/>
                      <w:sz w:val="20"/>
                      <w:u w:val="none"/>
                    </w:rPr>
                    <w:t>계측·FDC 시계열을 상시 감시한다. 변화 시점과 변화량을 수치로 특정해 조사를 자동 기동하고 그 수치를 마스터에게 넘긴다</w:t>
                  </w:r>
                </w:p>
              </w:tc>
            </w:tr>
            <w:tr>
              <w:tc>
                <w:tcPr>
                  <w:tcW w:type="dxa" w:w="1417"/>
                  <w:vAlign w:val="center"/>
                </w:tcPr>
                <w:p>
                  <w:pPr>
                    <w:spacing w:before="0" w:after="0" w:line="240" w:lineRule="auto"/>
                    <w:jc w:val="center"/>
                  </w:pPr>
                  <w:r>
                    <w:rPr>
                      <w:rFonts w:ascii="바탕체" w:hAnsi="바탕체" w:eastAsia="바탕체" w:cs="바탕체"/>
                      <w:b/>
                      <w:sz w:val="20"/>
                      <w:u w:val="none"/>
                    </w:rPr>
                    <w:t>Image Agent</w:t>
                  </w:r>
                </w:p>
              </w:tc>
              <w:tc>
                <w:tcPr>
                  <w:tcW w:type="dxa" w:w="6123"/>
                </w:tcPr>
                <w:p>
                  <w:pPr>
                    <w:spacing w:before="0" w:after="0" w:line="240" w:lineRule="auto"/>
                  </w:pPr>
                  <w:r>
                    <w:rPr>
                      <w:rFonts w:ascii="바탕체" w:hAnsi="바탕체" w:eastAsia="바탕체" w:cs="바탕체"/>
                      <w:b w:val="0"/>
                      <w:sz w:val="20"/>
                      <w:u w:val="none"/>
                    </w:rPr>
                    <w:t>wafer map 공간 패턴을 분류하고 결함 이미지 유형을 판독한다. 이미지 저장소에서 임베딩 유사도로 닮은 과거 불량을 좁힌 뒤, 그 이미지에 붙은 메타데이터와 파일 경로를 키로 삼아 해당 사고의 원인·조치를 RDB 에서 정확히 끌어온다. 유사도로 좁히고 키로 확정한다</w:t>
                  </w:r>
                </w:p>
              </w:tc>
            </w:tr>
            <w:tr>
              <w:tc>
                <w:tcPr>
                  <w:tcW w:type="dxa" w:w="1417"/>
                  <w:vAlign w:val="center"/>
                </w:tcPr>
                <w:p>
                  <w:pPr>
                    <w:spacing w:before="0" w:after="0" w:line="240" w:lineRule="auto"/>
                    <w:jc w:val="center"/>
                  </w:pPr>
                  <w:r>
                    <w:rPr>
                      <w:rFonts w:ascii="바탕체" w:hAnsi="바탕체" w:eastAsia="바탕체" w:cs="바탕체"/>
                      <w:b/>
                      <w:sz w:val="20"/>
                      <w:u w:val="none"/>
                    </w:rPr>
                    <w:t>Agentic RAG</w:t>
                  </w:r>
                </w:p>
              </w:tc>
              <w:tc>
                <w:tcPr>
                  <w:tcW w:type="dxa" w:w="6123"/>
                </w:tcPr>
                <w:p>
                  <w:pPr>
                    <w:spacing w:before="0" w:after="0" w:line="240" w:lineRule="auto"/>
                  </w:pPr>
                  <w:r>
                    <w:rPr>
                      <w:rFonts w:ascii="바탕체" w:hAnsi="바탕체" w:eastAsia="바탕체" w:cs="바탕체"/>
                      <w:b w:val="0"/>
                      <w:sz w:val="20"/>
                      <w:u w:val="none"/>
                    </w:rPr>
                    <w:t>엔지니어 Inform 이력과 사내 지식 문서를 찾는다. 질의를 스스로 다시 쓰고 하이브리드 검색으로 후보를 모아 리랭커로 추리며, 근거가 부족하면 질의를 바꿔 다시 찾는다. 문서만 보지 않는다 — 과거 사고 리스트와 원인·조치가 정리된 RDB 메타데이터까지 함께 조회해 정형과 비정형을 한 근거팩으로 묶는다</w:t>
                  </w:r>
                </w:p>
              </w:tc>
            </w:tr>
            <w:tr>
              <w:tc>
                <w:tcPr>
                  <w:tcW w:type="dxa" w:w="1417"/>
                  <w:vAlign w:val="center"/>
                </w:tcPr>
                <w:p>
                  <w:pPr>
                    <w:spacing w:before="0" w:after="0" w:line="240" w:lineRule="auto"/>
                    <w:jc w:val="center"/>
                  </w:pPr>
                  <w:r>
                    <w:rPr>
                      <w:rFonts w:ascii="바탕체" w:hAnsi="바탕체" w:eastAsia="바탕체" w:cs="바탕체"/>
                      <w:b/>
                      <w:sz w:val="20"/>
                      <w:u w:val="none"/>
                    </w:rPr>
                    <w:t>사내 시스템</w:t>
                  </w:r>
                  <w:r>
                    <w:rPr>
                      <w:rFonts w:ascii="바탕체" w:hAnsi="바탕체" w:eastAsia="바탕체" w:cs="바탕체"/>
                      <w:b/>
                      <w:sz w:val="20"/>
                      <w:u w:val="none"/>
                    </w:rPr>
                    <w:br/>
                  </w:r>
                  <w:r>
                    <w:rPr>
                      <w:rFonts w:ascii="바탕체" w:hAnsi="바탕체" w:eastAsia="바탕체" w:cs="바탕체"/>
                      <w:b/>
                      <w:sz w:val="20"/>
                      <w:u w:val="none"/>
                    </w:rPr>
                    <w:t>Tool Calling</w:t>
                  </w:r>
                </w:p>
              </w:tc>
              <w:tc>
                <w:tcPr>
                  <w:tcW w:type="dxa" w:w="6123"/>
                </w:tcPr>
                <w:p>
                  <w:pPr>
                    <w:spacing w:before="0" w:after="0" w:line="240" w:lineRule="auto"/>
                  </w:pPr>
                  <w:r>
                    <w:rPr>
                      <w:rFonts w:ascii="바탕체" w:hAnsi="바탕체" w:eastAsia="바탕체" w:cs="바탕체"/>
                      <w:b w:val="0"/>
                      <w:sz w:val="20"/>
                      <w:u w:val="none"/>
                    </w:rPr>
                    <w:t>SPC·MES·YMS·EES·QMS 를 조회 전용으로 호출한다. 트렌드 조회, 불량 lot 의 공통 설비·챔버 추출, 기준정보, 인터록 이력, 가드된 비정형 조회까지 다섯 갈래다</w:t>
                  </w:r>
                </w:p>
              </w:tc>
            </w:tr>
          </w:tbl>
          <w:p/>
          <w:p>
            <w:pPr>
              <w:spacing w:before="120" w:after="40" w:line="240" w:lineRule="auto"/>
            </w:pPr>
            <w:r>
              <w:rPr>
                <w:rFonts w:ascii="바탕체" w:hAnsi="바탕체" w:eastAsia="바탕체" w:cs="바탕체"/>
                <w:b/>
                <w:sz w:val="20"/>
                <w:u w:val="none"/>
              </w:rPr>
              <w:t>3. 도구 구성의 근거 — 하나씩 붙여 답이 어떻게 달라지는지 비교했다</w:t>
            </w:r>
          </w:p>
          <w:p>
            <w:pPr>
              <w:spacing w:before="0" w:after="60" w:line="240" w:lineRule="auto"/>
              <w:ind w:left="227"/>
            </w:pPr>
            <w:r>
              <w:rPr>
                <w:rFonts w:ascii="바탕체" w:hAnsi="바탕체" w:eastAsia="바탕체" w:cs="바탕체"/>
                <w:b w:val="0"/>
                <w:sz w:val="20"/>
                <w:u w:val="none"/>
              </w:rPr>
              <w:t>도구를 왜 이렇게 나눴는지는 하나씩 붙여 보면 드러난다. 같은 질문에 대한 답이 도구가 추가될 때마다 어떻게 달라지는지 실제로 비교했다.</w:t>
            </w:r>
          </w:p>
          <w:tbl>
            <w:tblPr>
              <w:tblStyle w:val="TableGrid"/>
              <w:tblW w:type="dxa" w:w="7540"/>
              <w:tblLayout w:type="fixed"/>
              <w:tblLook w:firstColumn="1" w:firstRow="1" w:lastColumn="0" w:lastRow="0" w:noHBand="0" w:noVBand="1" w:val="04A0"/>
            </w:tblPr>
            <w:tblGrid>
              <w:gridCol w:w="1700"/>
              <w:gridCol w:w="5839"/>
            </w:tblGrid>
            <w:tr>
              <w:trPr>
                <w:trHeight w:hRule="atLeast" w:val="272"/>
              </w:trPr>
              <w:tc>
                <w:tcPr>
                  <w:tcW w:type="dxa" w:w="1701"/>
                  <w:vAlign w:val="center"/>
                  <w:shd w:val="clear" w:color="auto" w:fill="F2F2F2"/>
                </w:tcPr>
                <w:p>
                  <w:pPr>
                    <w:spacing w:before="0" w:after="0" w:line="240" w:lineRule="auto"/>
                    <w:jc w:val="center"/>
                  </w:pPr>
                  <w:r>
                    <w:rPr>
                      <w:rFonts w:ascii="바탕체" w:hAnsi="바탕체" w:eastAsia="바탕체" w:cs="바탕체"/>
                      <w:b/>
                      <w:sz w:val="20"/>
                      <w:u w:val="none"/>
                    </w:rPr>
                    <w:t>붙인 도구</w:t>
                  </w:r>
                </w:p>
              </w:tc>
              <w:tc>
                <w:tcPr>
                  <w:tcW w:type="dxa" w:w="5839"/>
                  <w:vAlign w:val="center"/>
                  <w:shd w:val="clear" w:color="auto" w:fill="F2F2F2"/>
                </w:tcPr>
                <w:p>
                  <w:pPr>
                    <w:spacing w:before="0" w:after="0" w:line="240" w:lineRule="auto"/>
                    <w:jc w:val="center"/>
                  </w:pPr>
                  <w:r>
                    <w:rPr>
                      <w:rFonts w:ascii="바탕체" w:hAnsi="바탕체" w:eastAsia="바탕체" w:cs="바탕체"/>
                      <w:b/>
                      <w:sz w:val="20"/>
                      <w:u w:val="none"/>
                    </w:rPr>
                    <w:t>같은 질문에 대한 답</w:t>
                  </w:r>
                </w:p>
              </w:tc>
            </w:tr>
            <w:tr>
              <w:tc>
                <w:tcPr>
                  <w:tcW w:type="dxa" w:w="1701"/>
                  <w:vAlign w:val="center"/>
                </w:tcPr>
                <w:p>
                  <w:pPr>
                    <w:spacing w:before="0" w:after="0" w:line="240" w:lineRule="auto"/>
                    <w:jc w:val="center"/>
                  </w:pPr>
                  <w:r>
                    <w:rPr>
                      <w:rFonts w:ascii="바탕체" w:hAnsi="바탕체" w:eastAsia="바탕체" w:cs="바탕체"/>
                      <w:b/>
                      <w:sz w:val="20"/>
                      <w:u w:val="none"/>
                    </w:rPr>
                    <w:t>기본 LLM</w:t>
                  </w:r>
                </w:p>
              </w:tc>
              <w:tc>
                <w:tcPr>
                  <w:tcW w:type="dxa" w:w="5839"/>
                </w:tcPr>
                <w:p>
                  <w:pPr>
                    <w:spacing w:before="0" w:after="0" w:line="240" w:lineRule="auto"/>
                  </w:pPr>
                  <w:r>
                    <w:rPr>
                      <w:rFonts w:ascii="바탕체" w:hAnsi="바탕체" w:eastAsia="바탕체" w:cs="바탕체"/>
                      <w:b w:val="0"/>
                      <w:sz w:val="20"/>
                      <w:u w:val="none"/>
                    </w:rPr>
                    <w:t>7/26 02시부터 CD 가 급등했습니다</w:t>
                  </w:r>
                </w:p>
              </w:tc>
            </w:tr>
            <w:tr>
              <w:tc>
                <w:tcPr>
                  <w:tcW w:type="dxa" w:w="1701"/>
                  <w:vAlign w:val="center"/>
                </w:tcPr>
                <w:p>
                  <w:pPr>
                    <w:spacing w:before="0" w:after="0" w:line="240" w:lineRule="auto"/>
                    <w:jc w:val="center"/>
                  </w:pPr>
                  <w:r>
                    <w:rPr>
                      <w:rFonts w:ascii="바탕체" w:hAnsi="바탕체" w:eastAsia="바탕체" w:cs="바탕체"/>
                      <w:b/>
                      <w:sz w:val="20"/>
                      <w:u w:val="none"/>
                    </w:rPr>
                    <w:t>+ Trend Agent</w:t>
                  </w:r>
                </w:p>
              </w:tc>
              <w:tc>
                <w:tcPr>
                  <w:tcW w:type="dxa" w:w="5839"/>
                </w:tcPr>
                <w:p>
                  <w:pPr>
                    <w:spacing w:before="0" w:after="0" w:line="240" w:lineRule="auto"/>
                  </w:pPr>
                  <w:r>
                    <w:rPr>
                      <w:rFonts w:ascii="바탕체" w:hAnsi="바탕체" w:eastAsia="바탕체" w:cs="바탕체"/>
                      <w:b w:val="0"/>
                      <w:sz w:val="20"/>
                      <w:u w:val="none"/>
                    </w:rPr>
                    <w:t>7/26 02:14 부터 CD +0.8nm — 시점과 변화량이 수치로 특정됩니다</w:t>
                  </w:r>
                </w:p>
              </w:tc>
            </w:tr>
            <w:tr>
              <w:tc>
                <w:tcPr>
                  <w:tcW w:type="dxa" w:w="1701"/>
                  <w:vAlign w:val="center"/>
                </w:tcPr>
                <w:p>
                  <w:pPr>
                    <w:spacing w:before="0" w:after="0" w:line="240" w:lineRule="auto"/>
                    <w:jc w:val="center"/>
                  </w:pPr>
                  <w:r>
                    <w:rPr>
                      <w:rFonts w:ascii="바탕체" w:hAnsi="바탕체" w:eastAsia="바탕체" w:cs="바탕체"/>
                      <w:b/>
                      <w:sz w:val="20"/>
                      <w:u w:val="none"/>
                    </w:rPr>
                    <w:t>+ Image Agent</w:t>
                  </w:r>
                </w:p>
              </w:tc>
              <w:tc>
                <w:tcPr>
                  <w:tcW w:type="dxa" w:w="5839"/>
                </w:tcPr>
                <w:p>
                  <w:pPr>
                    <w:spacing w:before="0" w:after="0" w:line="240" w:lineRule="auto"/>
                  </w:pPr>
                  <w:r>
                    <w:rPr>
                      <w:rFonts w:ascii="바탕체" w:hAnsi="바탕체" w:eastAsia="바탕체" w:cs="바탕체"/>
                      <w:b w:val="0"/>
                      <w:sz w:val="20"/>
                      <w:u w:val="none"/>
                    </w:rPr>
                    <w:t>Map 상 edge 국부 집중 — Focus 편차형 불량이 의심됩니다</w:t>
                  </w:r>
                </w:p>
              </w:tc>
            </w:tr>
            <w:tr>
              <w:tc>
                <w:tcPr>
                  <w:tcW w:type="dxa" w:w="1701"/>
                  <w:vAlign w:val="center"/>
                </w:tcPr>
                <w:p>
                  <w:pPr>
                    <w:spacing w:before="0" w:after="0" w:line="240" w:lineRule="auto"/>
                    <w:jc w:val="center"/>
                  </w:pPr>
                  <w:r>
                    <w:rPr>
                      <w:rFonts w:ascii="바탕체" w:hAnsi="바탕체" w:eastAsia="바탕체" w:cs="바탕체"/>
                      <w:b/>
                      <w:sz w:val="20"/>
                      <w:u w:val="none"/>
                    </w:rPr>
                    <w:t>+ 유사사례 검색</w:t>
                  </w:r>
                </w:p>
              </w:tc>
              <w:tc>
                <w:tcPr>
                  <w:tcW w:type="dxa" w:w="5839"/>
                </w:tcPr>
                <w:p>
                  <w:pPr>
                    <w:spacing w:before="0" w:after="0" w:line="240" w:lineRule="auto"/>
                  </w:pPr>
                  <w:r>
                    <w:rPr>
                      <w:rFonts w:ascii="바탕체" w:hAnsi="바탕체" w:eastAsia="바탕체" w:cs="바탕체"/>
                      <w:b w:val="0"/>
                      <w:sz w:val="20"/>
                      <w:u w:val="none"/>
                    </w:rPr>
                    <w:t>과거 PHO-D01 사례와 같은 패턴이며, 당시 원인은 Scanner Focus 드리프트였습니다</w:t>
                  </w:r>
                </w:p>
              </w:tc>
            </w:tr>
            <w:tr>
              <w:tc>
                <w:tcPr>
                  <w:tcW w:type="dxa" w:w="1701"/>
                  <w:vAlign w:val="center"/>
                </w:tcPr>
                <w:p>
                  <w:pPr>
                    <w:spacing w:before="0" w:after="0" w:line="240" w:lineRule="auto"/>
                    <w:jc w:val="center"/>
                  </w:pPr>
                  <w:r>
                    <w:rPr>
                      <w:rFonts w:ascii="바탕체" w:hAnsi="바탕체" w:eastAsia="바탕체" w:cs="바탕체"/>
                      <w:b/>
                      <w:sz w:val="20"/>
                      <w:u w:val="none"/>
                    </w:rPr>
                    <w:t>+ 설비 이력 조회</w:t>
                  </w:r>
                </w:p>
              </w:tc>
              <w:tc>
                <w:tcPr>
                  <w:tcW w:type="dxa" w:w="5839"/>
                </w:tcPr>
                <w:p>
                  <w:pPr>
                    <w:spacing w:before="0" w:after="0" w:line="240" w:lineRule="auto"/>
                  </w:pPr>
                  <w:r>
                    <w:rPr>
                      <w:rFonts w:ascii="바탕체" w:hAnsi="바탕체" w:eastAsia="바탕체" w:cs="바탕체"/>
                      <w:b w:val="0"/>
                      <w:sz w:val="20"/>
                      <w:u w:val="none"/>
                    </w:rPr>
                    <w:t>7/26 Scanner PM 직후 Focus 재보정 누락을 확인 — 원인이 특정됩니다</w:t>
                  </w:r>
                </w:p>
              </w:tc>
            </w:tr>
            <w:tr>
              <w:tc>
                <w:tcPr>
                  <w:tcW w:type="dxa" w:w="1701"/>
                  <w:vAlign w:val="center"/>
                </w:tcPr>
                <w:p>
                  <w:pPr>
                    <w:spacing w:before="0" w:after="0" w:line="240" w:lineRule="auto"/>
                    <w:jc w:val="center"/>
                  </w:pPr>
                  <w:r>
                    <w:rPr>
                      <w:rFonts w:ascii="바탕체" w:hAnsi="바탕체" w:eastAsia="바탕체" w:cs="바탕체"/>
                      <w:b/>
                      <w:sz w:val="20"/>
                      <w:u w:val="none"/>
                    </w:rPr>
                    <w:t>+ 조치 생성</w:t>
                  </w:r>
                </w:p>
              </w:tc>
              <w:tc>
                <w:tcPr>
                  <w:tcW w:type="dxa" w:w="5839"/>
                </w:tcPr>
                <w:p>
                  <w:pPr>
                    <w:spacing w:before="0" w:after="0" w:line="240" w:lineRule="auto"/>
                  </w:pPr>
                  <w:r>
                    <w:rPr>
                      <w:rFonts w:ascii="바탕체" w:hAnsi="바탕체" w:eastAsia="바탕체" w:cs="바탕체"/>
                      <w:b w:val="0"/>
                      <w:sz w:val="20"/>
                      <w:u w:val="none"/>
                    </w:rPr>
                    <w:t>원인은 PM 후 재보정 누락입니다. 근거 3종을 인용해 진행 금지·조치 코드 발행·보고서 공유까지 제안합니다</w:t>
                  </w:r>
                </w:p>
              </w:tc>
            </w:tr>
          </w:tbl>
          <w:p/>
          <w:p>
            <w:pPr>
              <w:spacing w:before="60" w:after="0" w:line="240" w:lineRule="auto"/>
              <w:ind w:left="227"/>
            </w:pPr>
            <w:r>
              <w:rPr>
                <w:rFonts w:ascii="바탕체" w:hAnsi="바탕체" w:eastAsia="바탕체" w:cs="바탕체"/>
                <w:b w:val="0"/>
                <w:sz w:val="20"/>
                <w:u w:val="none"/>
              </w:rPr>
              <w:t>도구를 하나 빼면 답이 어느 단계로 후퇴하는지가 그대로 보인다. 이것이 도구 구성을 이렇게 정한 근거다.</w:t>
            </w:r>
          </w:p>
        </w:tc>
      </w:tr>
    </w:tbl>
    <w:p>
      <w:pPr>
        <w:spacing w:before="0" w:after="0" w:line="120" w:lineRule="auto"/>
      </w:pPr>
      <w:r>
        <w:rPr>
          <w:rFonts w:ascii="바탕체" w:hAnsi="바탕체" w:eastAsia="바탕체" w:cs="바탕체"/>
          <w:b w:val="0"/>
          <w:sz w:val="2"/>
          <w:u w:val="none"/>
        </w:rPr>
        <w:br w:type="page"/>
      </w:r>
    </w:p>
    <w:tbl>
      <w:tblPr>
        <w:tblStyle w:val="TableGrid"/>
        <w:tblW w:type="dxa" w:w="9065"/>
        <w:tblLayout w:type="fixed"/>
        <w:tblLook w:firstColumn="1" w:firstRow="1" w:lastColumn="0" w:lastRow="0" w:noHBand="0" w:noVBand="1" w:val="04A0"/>
      </w:tblPr>
      <w:tblGrid>
        <w:gridCol w:w="1269"/>
        <w:gridCol w:w="7795"/>
      </w:tblGrid>
      <w:tr>
        <w:trPr>
          <w:trHeight w:hRule="atLeast" w:val="13550"/>
        </w:trPr>
        <w:tc>
          <w:tcPr>
            <w:tcW w:type="dxa" w:w="1270"/>
            <w:vAlign w:val="top"/>
          </w:tcPr>
          <w:p>
            <w:pPr>
              <w:spacing w:before="0" w:after="0" w:line="240" w:lineRule="auto"/>
              <w:jc w:val="center"/>
            </w:pPr>
            <w:r>
              <w:rPr>
                <w:rFonts w:ascii="바탕체" w:hAnsi="바탕체" w:eastAsia="바탕체" w:cs="바탕체"/>
                <w:b/>
                <w:sz w:val="22"/>
                <w:u w:val="none"/>
              </w:rPr>
              <w:t>기술적</w:t>
            </w:r>
            <w:r>
              <w:rPr>
                <w:rFonts w:ascii="바탕체" w:hAnsi="바탕체" w:eastAsia="바탕체" w:cs="바탕체"/>
                <w:b/>
                <w:sz w:val="22"/>
                <w:u w:val="none"/>
              </w:rPr>
              <w:br/>
            </w:r>
            <w:r>
              <w:rPr>
                <w:rFonts w:ascii="바탕체" w:hAnsi="바탕체" w:eastAsia="바탕체" w:cs="바탕체"/>
                <w:b/>
                <w:sz w:val="22"/>
                <w:u w:val="none"/>
              </w:rPr>
              <w:t>해결 방안</w:t>
            </w:r>
          </w:p>
        </w:tc>
        <w:tc>
          <w:tcPr>
            <w:tcW w:type="dxa" w:w="7795"/>
            <w:vAlign w:val="top"/>
          </w:tcPr>
          <w:p>
            <w:pPr>
              <w:spacing w:before="0" w:after="40" w:line="240" w:lineRule="auto"/>
            </w:pPr>
            <w:r>
              <w:rPr>
                <w:rFonts w:ascii="바탕체" w:hAnsi="바탕체" w:eastAsia="바탕체" w:cs="바탕체"/>
                <w:b/>
                <w:sz w:val="20"/>
                <w:u w:val="none"/>
              </w:rPr>
              <w:t>4. 알고리즘 선택 근거</w:t>
            </w:r>
          </w:p>
          <w:tbl>
            <w:tblPr>
              <w:tblStyle w:val="TableGrid"/>
              <w:tblW w:type="dxa" w:w="7540"/>
              <w:tblLayout w:type="fixed"/>
              <w:tblLook w:firstColumn="1" w:firstRow="1" w:lastColumn="0" w:lastRow="0" w:noHBand="0" w:noVBand="1" w:val="04A0"/>
            </w:tblPr>
            <w:tblGrid>
              <w:gridCol w:w="1417"/>
              <w:gridCol w:w="1757"/>
              <w:gridCol w:w="4365"/>
            </w:tblGrid>
            <w:tr>
              <w:trPr>
                <w:trHeight w:hRule="atLeast" w:val="272"/>
              </w:trPr>
              <w:tc>
                <w:tcPr>
                  <w:tcW w:type="dxa" w:w="1417"/>
                  <w:vAlign w:val="center"/>
                  <w:shd w:val="clear" w:color="auto" w:fill="F2F2F2"/>
                </w:tcPr>
                <w:p>
                  <w:pPr>
                    <w:spacing w:before="0" w:after="0" w:line="240" w:lineRule="auto"/>
                    <w:jc w:val="center"/>
                  </w:pPr>
                  <w:r>
                    <w:rPr>
                      <w:rFonts w:ascii="바탕체" w:hAnsi="바탕체" w:eastAsia="바탕체" w:cs="바탕체"/>
                      <w:b/>
                      <w:sz w:val="20"/>
                      <w:u w:val="none"/>
                    </w:rPr>
                    <w:t>과제</w:t>
                  </w:r>
                </w:p>
              </w:tc>
              <w:tc>
                <w:tcPr>
                  <w:tcW w:type="dxa" w:w="1757"/>
                  <w:vAlign w:val="center"/>
                  <w:shd w:val="clear" w:color="auto" w:fill="F2F2F2"/>
                </w:tcPr>
                <w:p>
                  <w:pPr>
                    <w:spacing w:before="0" w:after="0" w:line="240" w:lineRule="auto"/>
                    <w:jc w:val="center"/>
                  </w:pPr>
                  <w:r>
                    <w:rPr>
                      <w:rFonts w:ascii="바탕체" w:hAnsi="바탕체" w:eastAsia="바탕체" w:cs="바탕체"/>
                      <w:b/>
                      <w:sz w:val="20"/>
                      <w:u w:val="none"/>
                    </w:rPr>
                    <w:t>선택</w:t>
                  </w:r>
                </w:p>
              </w:tc>
              <w:tc>
                <w:tcPr>
                  <w:tcW w:type="dxa" w:w="4365"/>
                  <w:vAlign w:val="center"/>
                  <w:shd w:val="clear" w:color="auto" w:fill="F2F2F2"/>
                </w:tcPr>
                <w:p>
                  <w:pPr>
                    <w:spacing w:before="0" w:after="0" w:line="240" w:lineRule="auto"/>
                    <w:jc w:val="center"/>
                  </w:pPr>
                  <w:r>
                    <w:rPr>
                      <w:rFonts w:ascii="바탕체" w:hAnsi="바탕체" w:eastAsia="바탕체" w:cs="바탕체"/>
                      <w:b/>
                      <w:sz w:val="20"/>
                      <w:u w:val="none"/>
                    </w:rPr>
                    <w:t>선택 근거</w:t>
                  </w:r>
                </w:p>
              </w:tc>
            </w:tr>
            <w:tr>
              <w:tc>
                <w:tcPr>
                  <w:tcW w:type="dxa" w:w="1417"/>
                  <w:vAlign w:val="center"/>
                </w:tcPr>
                <w:p>
                  <w:pPr>
                    <w:spacing w:before="0" w:after="0" w:line="240" w:lineRule="auto"/>
                    <w:jc w:val="center"/>
                  </w:pPr>
                  <w:r>
                    <w:rPr>
                      <w:rFonts w:ascii="바탕체" w:hAnsi="바탕체" w:eastAsia="바탕체" w:cs="바탕체"/>
                      <w:b/>
                      <w:sz w:val="20"/>
                      <w:u w:val="none"/>
                    </w:rPr>
                    <w:t>판단·오케스트레이션</w:t>
                  </w:r>
                </w:p>
              </w:tc>
              <w:tc>
                <w:tcPr>
                  <w:tcW w:type="dxa" w:w="1757"/>
                </w:tcPr>
                <w:p>
                  <w:pPr>
                    <w:spacing w:before="0" w:after="0" w:line="240" w:lineRule="auto"/>
                  </w:pPr>
                  <w:r>
                    <w:rPr>
                      <w:rFonts w:ascii="바탕체" w:hAnsi="바탕체" w:eastAsia="바탕체" w:cs="바탕체"/>
                      <w:b w:val="0"/>
                      <w:sz w:val="20"/>
                      <w:u w:val="none"/>
                    </w:rPr>
                    <w:t>GLM-5.2 743B-A39B MoE</w:t>
                  </w:r>
                </w:p>
              </w:tc>
              <w:tc>
                <w:tcPr>
                  <w:tcW w:type="dxa" w:w="4365"/>
                </w:tcPr>
                <w:p>
                  <w:pPr>
                    <w:spacing w:before="0" w:after="0" w:line="240" w:lineRule="auto"/>
                  </w:pPr>
                  <w:r>
                    <w:rPr>
                      <w:rFonts w:ascii="바탕체" w:hAnsi="바탕체" w:eastAsia="바탕체" w:cs="바탕체"/>
                      <w:b w:val="0"/>
                      <w:sz w:val="20"/>
                      <w:u w:val="none"/>
                    </w:rPr>
                    <w:t>도구 호출 안정성과 장문 근거 종합이 동시에 필요한 유일한 자리다. MoE 라 활성 파라미터만 연산해 대형 모델의 판단력을 추론 비용 증가 없이 쓴다. 역할은 시스템 프롬프트로만 갈라 하나의 서빙을 공유하고 프롬프트 캐시를 살린다.</w:t>
                  </w:r>
                </w:p>
              </w:tc>
            </w:tr>
            <w:tr>
              <w:tc>
                <w:tcPr>
                  <w:tcW w:type="dxa" w:w="1417"/>
                  <w:vAlign w:val="center"/>
                </w:tcPr>
                <w:p>
                  <w:pPr>
                    <w:spacing w:before="0" w:after="0" w:line="240" w:lineRule="auto"/>
                    <w:jc w:val="center"/>
                  </w:pPr>
                  <w:r>
                    <w:rPr>
                      <w:rFonts w:ascii="바탕체" w:hAnsi="바탕체" w:eastAsia="바탕체" w:cs="바탕체"/>
                      <w:b/>
                      <w:sz w:val="20"/>
                      <w:u w:val="none"/>
                    </w:rPr>
                    <w:t>조사 제어</w:t>
                  </w:r>
                </w:p>
              </w:tc>
              <w:tc>
                <w:tcPr>
                  <w:tcW w:type="dxa" w:w="1757"/>
                </w:tcPr>
                <w:p>
                  <w:pPr>
                    <w:spacing w:before="0" w:after="0" w:line="240" w:lineRule="auto"/>
                  </w:pPr>
                  <w:r>
                    <w:rPr>
                      <w:rFonts w:ascii="바탕체" w:hAnsi="바탕체" w:eastAsia="바탕체" w:cs="바탕체"/>
                      <w:b w:val="0"/>
                      <w:sz w:val="20"/>
                      <w:u w:val="none"/>
                    </w:rPr>
                    <w:t>ReAct 루프 (LangGraph)</w:t>
                  </w:r>
                </w:p>
              </w:tc>
              <w:tc>
                <w:tcPr>
                  <w:tcW w:type="dxa" w:w="4365"/>
                </w:tcPr>
                <w:p>
                  <w:pPr>
                    <w:spacing w:before="0" w:after="0" w:line="240" w:lineRule="auto"/>
                  </w:pPr>
                  <w:r>
                    <w:rPr>
                      <w:rFonts w:ascii="바탕체" w:hAnsi="바탕체" w:eastAsia="바탕체" w:cs="바탕체"/>
                      <w:b w:val="0"/>
                      <w:sz w:val="20"/>
                      <w:u w:val="none"/>
                    </w:rPr>
                    <w:t>호출 순서를 미리 정하지 않고 결과를 보고 다음을 정한다. 조사 깊이가 사안에 따라 저절로 조절된다.</w:t>
                  </w:r>
                </w:p>
              </w:tc>
            </w:tr>
            <w:tr>
              <w:tc>
                <w:tcPr>
                  <w:tcW w:type="dxa" w:w="1417"/>
                  <w:vAlign w:val="center"/>
                </w:tcPr>
                <w:p>
                  <w:pPr>
                    <w:spacing w:before="0" w:after="0" w:line="240" w:lineRule="auto"/>
                    <w:jc w:val="center"/>
                  </w:pPr>
                  <w:r>
                    <w:rPr>
                      <w:rFonts w:ascii="바탕체" w:hAnsi="바탕체" w:eastAsia="바탕체" w:cs="바탕체"/>
                      <w:b/>
                      <w:sz w:val="20"/>
                      <w:u w:val="none"/>
                    </w:rPr>
                    <w:t>Trend 이상탐지</w:t>
                  </w:r>
                </w:p>
              </w:tc>
              <w:tc>
                <w:tcPr>
                  <w:tcW w:type="dxa" w:w="1757"/>
                </w:tcPr>
                <w:p>
                  <w:pPr>
                    <w:spacing w:before="0" w:after="0" w:line="240" w:lineRule="auto"/>
                  </w:pPr>
                  <w:r>
                    <w:rPr>
                      <w:rFonts w:ascii="바탕체" w:hAnsi="바탕체" w:eastAsia="바탕체" w:cs="바탕체"/>
                      <w:b w:val="0"/>
                      <w:sz w:val="20"/>
                      <w:u w:val="none"/>
                    </w:rPr>
                    <w:t>PatchTST + CUSUM / BOCPD</w:t>
                  </w:r>
                </w:p>
              </w:tc>
              <w:tc>
                <w:tcPr>
                  <w:tcW w:type="dxa" w:w="4365"/>
                </w:tcPr>
                <w:p>
                  <w:pPr>
                    <w:spacing w:before="0" w:after="0" w:line="240" w:lineRule="auto"/>
                  </w:pPr>
                  <w:r>
                    <w:rPr>
                      <w:rFonts w:ascii="바탕체" w:hAnsi="바탕체" w:eastAsia="바탕체" w:cs="바탕체"/>
                      <w:b w:val="0"/>
                      <w:sz w:val="20"/>
                      <w:u w:val="none"/>
                    </w:rPr>
                    <w:t>언제부터 얼마나는 통계·시계열 모델이 잘하고 LLM 이 못한다. 변화점은 코드가 찍고 LLM 은 읽어서 연결만 한다. 시계열 원본을 LLM 에 넣지 않는다.</w:t>
                  </w:r>
                </w:p>
              </w:tc>
            </w:tr>
            <w:tr>
              <w:tc>
                <w:tcPr>
                  <w:tcW w:type="dxa" w:w="1417"/>
                  <w:vAlign w:val="center"/>
                </w:tcPr>
                <w:p>
                  <w:pPr>
                    <w:spacing w:before="0" w:after="0" w:line="240" w:lineRule="auto"/>
                    <w:jc w:val="center"/>
                  </w:pPr>
                  <w:r>
                    <w:rPr>
                      <w:rFonts w:ascii="바탕체" w:hAnsi="바탕체" w:eastAsia="바탕체" w:cs="바탕체"/>
                      <w:b/>
                      <w:sz w:val="20"/>
                      <w:u w:val="none"/>
                    </w:rPr>
                    <w:t>Map·불량 분류</w:t>
                  </w:r>
                </w:p>
              </w:tc>
              <w:tc>
                <w:tcPr>
                  <w:tcW w:type="dxa" w:w="1757"/>
                </w:tcPr>
                <w:p>
                  <w:pPr>
                    <w:spacing w:before="0" w:after="0" w:line="240" w:lineRule="auto"/>
                  </w:pPr>
                  <w:r>
                    <w:rPr>
                      <w:rFonts w:ascii="바탕체" w:hAnsi="바탕체" w:eastAsia="바탕체" w:cs="바탕체"/>
                      <w:b w:val="0"/>
                      <w:sz w:val="20"/>
                      <w:u w:val="none"/>
                    </w:rPr>
                    <w:t>ConvNeXt V2</w:t>
                  </w:r>
                </w:p>
              </w:tc>
              <w:tc>
                <w:tcPr>
                  <w:tcW w:type="dxa" w:w="4365"/>
                </w:tcPr>
                <w:p>
                  <w:pPr>
                    <w:spacing w:before="0" w:after="0" w:line="240" w:lineRule="auto"/>
                  </w:pPr>
                  <w:r>
                    <w:rPr>
                      <w:rFonts w:ascii="바탕체" w:hAnsi="바탕체" w:eastAsia="바탕체" w:cs="바탕체"/>
                      <w:b w:val="0"/>
                      <w:sz w:val="20"/>
                      <w:u w:val="none"/>
                    </w:rPr>
                    <w:t>라벨이 있는 기지 불량은 분류 모델이 가장 싸고 정확하다. 여기에 VLM 을 쓰는 것은 낭비다.</w:t>
                  </w:r>
                </w:p>
              </w:tc>
            </w:tr>
            <w:tr>
              <w:tc>
                <w:tcPr>
                  <w:tcW w:type="dxa" w:w="1417"/>
                  <w:vAlign w:val="center"/>
                </w:tcPr>
                <w:p>
                  <w:pPr>
                    <w:spacing w:before="0" w:after="0" w:line="240" w:lineRule="auto"/>
                    <w:jc w:val="center"/>
                  </w:pPr>
                  <w:r>
                    <w:rPr>
                      <w:rFonts w:ascii="바탕체" w:hAnsi="바탕체" w:eastAsia="바탕체" w:cs="바탕체"/>
                      <w:b/>
                      <w:sz w:val="20"/>
                      <w:u w:val="none"/>
                    </w:rPr>
                    <w:t>미지 불량</w:t>
                  </w:r>
                </w:p>
              </w:tc>
              <w:tc>
                <w:tcPr>
                  <w:tcW w:type="dxa" w:w="1757"/>
                </w:tcPr>
                <w:p>
                  <w:pPr>
                    <w:spacing w:before="0" w:after="0" w:line="240" w:lineRule="auto"/>
                  </w:pPr>
                  <w:r>
                    <w:rPr>
                      <w:rFonts w:ascii="바탕체" w:hAnsi="바탕체" w:eastAsia="바탕체" w:cs="바탕체"/>
                      <w:b w:val="0"/>
                      <w:sz w:val="20"/>
                      <w:u w:val="none"/>
                    </w:rPr>
                    <w:t>PatchCore + WRN-50-2</w:t>
                  </w:r>
                </w:p>
              </w:tc>
              <w:tc>
                <w:tcPr>
                  <w:tcW w:type="dxa" w:w="4365"/>
                </w:tcPr>
                <w:p>
                  <w:pPr>
                    <w:spacing w:before="0" w:after="0" w:line="240" w:lineRule="auto"/>
                  </w:pPr>
                  <w:r>
                    <w:rPr>
                      <w:rFonts w:ascii="바탕체" w:hAnsi="바탕체" w:eastAsia="바탕체" w:cs="바탕체"/>
                      <w:b w:val="0"/>
                      <w:sz w:val="20"/>
                      <w:u w:val="none"/>
                    </w:rPr>
                    <w:t>라벨 없는 신규 패턴이 실제 사고의 다수다. 정상 특징과의 거리로 처음 보는 불량을 잡는다. 분류 모델로는 닿지 않는 영역이다.</w:t>
                  </w:r>
                </w:p>
              </w:tc>
            </w:tr>
            <w:tr>
              <w:tc>
                <w:tcPr>
                  <w:tcW w:type="dxa" w:w="1417"/>
                  <w:vAlign w:val="center"/>
                </w:tcPr>
                <w:p>
                  <w:pPr>
                    <w:spacing w:before="0" w:after="0" w:line="240" w:lineRule="auto"/>
                    <w:jc w:val="center"/>
                  </w:pPr>
                  <w:r>
                    <w:rPr>
                      <w:rFonts w:ascii="바탕체" w:hAnsi="바탕체" w:eastAsia="바탕체" w:cs="바탕체"/>
                      <w:b/>
                      <w:sz w:val="20"/>
                      <w:u w:val="none"/>
                    </w:rPr>
                    <w:t>문서·사례 검색</w:t>
                  </w:r>
                </w:p>
              </w:tc>
              <w:tc>
                <w:tcPr>
                  <w:tcW w:type="dxa" w:w="1757"/>
                </w:tcPr>
                <w:p>
                  <w:pPr>
                    <w:spacing w:before="0" w:after="0" w:line="240" w:lineRule="auto"/>
                  </w:pPr>
                  <w:r>
                    <w:rPr>
                      <w:rFonts w:ascii="바탕체" w:hAnsi="바탕체" w:eastAsia="바탕체" w:cs="바탕체"/>
                      <w:b w:val="0"/>
                      <w:sz w:val="20"/>
                      <w:u w:val="none"/>
                    </w:rPr>
                    <w:t>Qwen3-Embedding-8B + Reranker-8B + BM25</w:t>
                  </w:r>
                </w:p>
              </w:tc>
              <w:tc>
                <w:tcPr>
                  <w:tcW w:type="dxa" w:w="4365"/>
                </w:tcPr>
                <w:p>
                  <w:pPr>
                    <w:spacing w:before="0" w:after="0" w:line="240" w:lineRule="auto"/>
                  </w:pPr>
                  <w:r>
                    <w:rPr>
                      <w:rFonts w:ascii="바탕체" w:hAnsi="바탕체" w:eastAsia="바탕체" w:cs="바탕체"/>
                      <w:b w:val="0"/>
                      <w:sz w:val="20"/>
                      <w:u w:val="none"/>
                    </w:rPr>
                    <w:t>판정 근거는 Inform Note 라는 자연어에 있고 약어와 표기 흔들림이 심하다. 의미와 정확 일치를 함께 써야 놓치지 않는다. 리랭커는 cross-encoder 라 검색기 계열을 가리지 않는다.</w:t>
                  </w:r>
                </w:p>
              </w:tc>
            </w:tr>
            <w:tr>
              <w:tc>
                <w:tcPr>
                  <w:tcW w:type="dxa" w:w="1417"/>
                  <w:vAlign w:val="center"/>
                </w:tcPr>
                <w:p>
                  <w:pPr>
                    <w:spacing w:before="0" w:after="0" w:line="240" w:lineRule="auto"/>
                    <w:jc w:val="center"/>
                  </w:pPr>
                  <w:r>
                    <w:rPr>
                      <w:rFonts w:ascii="바탕체" w:hAnsi="바탕체" w:eastAsia="바탕체" w:cs="바탕체"/>
                      <w:b/>
                      <w:sz w:val="20"/>
                      <w:u w:val="none"/>
                    </w:rPr>
                    <w:t>이미지 유사 검색</w:t>
                  </w:r>
                </w:p>
              </w:tc>
              <w:tc>
                <w:tcPr>
                  <w:tcW w:type="dxa" w:w="1757"/>
                </w:tcPr>
                <w:p>
                  <w:pPr>
                    <w:spacing w:before="0" w:after="0" w:line="240" w:lineRule="auto"/>
                  </w:pPr>
                  <w:r>
                    <w:rPr>
                      <w:rFonts w:ascii="바탕체" w:hAnsi="바탕체" w:eastAsia="바탕체" w:cs="바탕체"/>
                      <w:b w:val="0"/>
                      <w:sz w:val="20"/>
                      <w:u w:val="none"/>
                    </w:rPr>
                    <w:t>Qwen3-VL-Embedding</w:t>
                  </w:r>
                </w:p>
              </w:tc>
              <w:tc>
                <w:tcPr>
                  <w:tcW w:type="dxa" w:w="4365"/>
                </w:tcPr>
                <w:p>
                  <w:pPr>
                    <w:spacing w:before="0" w:after="0" w:line="240" w:lineRule="auto"/>
                  </w:pPr>
                  <w:r>
                    <w:rPr>
                      <w:rFonts w:ascii="바탕체" w:hAnsi="바탕체" w:eastAsia="바탕체" w:cs="바탕체"/>
                      <w:b w:val="0"/>
                      <w:sz w:val="20"/>
                      <w:u w:val="none"/>
                    </w:rPr>
                    <w:t>이미지끼리 닮은 정도는 텍스트로 옮기면 잃는다. 임베딩 유사도로 후보를 좁히고, 확정은 그 이미지의 메타 키로 RDB 를 조회해 정확히 맞춘다.</w:t>
                  </w:r>
                </w:p>
              </w:tc>
            </w:tr>
          </w:tbl>
          <w:p/>
          <w:p>
            <w:pPr>
              <w:spacing w:before="120" w:after="40" w:line="240" w:lineRule="auto"/>
            </w:pPr>
            <w:r>
              <w:rPr>
                <w:rFonts w:ascii="바탕체" w:hAnsi="바탕체" w:eastAsia="바탕체" w:cs="바탕체"/>
                <w:b/>
                <w:sz w:val="20"/>
                <w:u w:val="none"/>
              </w:rPr>
              <w:t>5. 그럴듯한 오답이 채택되지 않게 — 코드가 검사한다</w:t>
            </w:r>
          </w:p>
          <w:p>
            <w:pPr>
              <w:spacing w:before="0" w:after="60" w:line="240" w:lineRule="auto"/>
              <w:ind w:left="227"/>
            </w:pPr>
            <w:r>
              <w:rPr>
                <w:rFonts w:ascii="바탕체" w:hAnsi="바탕체" w:eastAsia="바탕체" w:cs="바탕체"/>
                <w:b w:val="0"/>
                <w:sz w:val="20"/>
                <w:u w:val="none"/>
              </w:rPr>
              <w:t>품질 시스템에서 그럴듯한 오답은 무응답보다 위험하다. 판단서는 구조화 출력으로 근거 인용을 강제하고, 아래 다섯 가지를 LLM 이 아니라 코드가 검사한다. 실패하면 오류를 붙여 다시 만들고, 계속 실패하면 판단 불가로 강등해 사람에게 넘긴다.</w:t>
            </w:r>
          </w:p>
          <w:tbl>
            <w:tblPr>
              <w:tblStyle w:val="TableGrid"/>
              <w:tblW w:type="dxa" w:w="7540"/>
              <w:tblLayout w:type="fixed"/>
              <w:tblLook w:firstColumn="1" w:firstRow="1" w:lastColumn="0" w:lastRow="0" w:noHBand="0" w:noVBand="1" w:val="04A0"/>
            </w:tblPr>
            <w:tblGrid>
              <w:gridCol w:w="1474"/>
              <w:gridCol w:w="6066"/>
            </w:tblGrid>
            <w:tr>
              <w:tc>
                <w:tcPr>
                  <w:tcW w:type="dxa" w:w="1474"/>
                  <w:vAlign w:val="center"/>
                </w:tcPr>
                <w:p>
                  <w:pPr>
                    <w:spacing w:before="0" w:after="0" w:line="240" w:lineRule="auto"/>
                    <w:jc w:val="center"/>
                  </w:pPr>
                  <w:r>
                    <w:rPr>
                      <w:rFonts w:ascii="바탕체" w:hAnsi="바탕체" w:eastAsia="바탕체" w:cs="바탕체"/>
                      <w:b/>
                      <w:sz w:val="20"/>
                      <w:u w:val="none"/>
                    </w:rPr>
                    <w:t>스키마</w:t>
                  </w:r>
                </w:p>
              </w:tc>
              <w:tc>
                <w:tcPr>
                  <w:tcW w:type="dxa" w:w="6066"/>
                </w:tcPr>
                <w:p>
                  <w:pPr>
                    <w:spacing w:before="0" w:after="0" w:line="240" w:lineRule="auto"/>
                  </w:pPr>
                  <w:r>
                    <w:rPr>
                      <w:rFonts w:ascii="바탕체" w:hAnsi="바탕체" w:eastAsia="바탕체" w:cs="바탕체"/>
                      <w:b w:val="0"/>
                      <w:sz w:val="20"/>
                      <w:u w:val="none"/>
                    </w:rPr>
                    <w:t>정해진 형식이 아니면 거부</w:t>
                  </w:r>
                </w:p>
              </w:tc>
            </w:tr>
            <w:tr>
              <w:tc>
                <w:tcPr>
                  <w:tcW w:type="dxa" w:w="1474"/>
                  <w:vAlign w:val="center"/>
                </w:tcPr>
                <w:p>
                  <w:pPr>
                    <w:spacing w:before="0" w:after="0" w:line="240" w:lineRule="auto"/>
                    <w:jc w:val="center"/>
                  </w:pPr>
                  <w:r>
                    <w:rPr>
                      <w:rFonts w:ascii="바탕체" w:hAnsi="바탕체" w:eastAsia="바탕체" w:cs="바탕체"/>
                      <w:b/>
                      <w:sz w:val="20"/>
                      <w:u w:val="none"/>
                    </w:rPr>
                    <w:t>근거 실재</w:t>
                  </w:r>
                </w:p>
              </w:tc>
              <w:tc>
                <w:tcPr>
                  <w:tcW w:type="dxa" w:w="6066"/>
                </w:tcPr>
                <w:p>
                  <w:pPr>
                    <w:spacing w:before="0" w:after="0" w:line="240" w:lineRule="auto"/>
                  </w:pPr>
                  <w:r>
                    <w:rPr>
                      <w:rFonts w:ascii="바탕체" w:hAnsi="바탕체" w:eastAsia="바탕체" w:cs="바탕체"/>
                      <w:b w:val="0"/>
                      <w:sz w:val="20"/>
                      <w:u w:val="none"/>
                    </w:rPr>
                    <w:t>존재하지 않는 증거를 인용하면 거부</w:t>
                  </w:r>
                </w:p>
              </w:tc>
            </w:tr>
            <w:tr>
              <w:tc>
                <w:tcPr>
                  <w:tcW w:type="dxa" w:w="1474"/>
                  <w:vAlign w:val="center"/>
                </w:tcPr>
                <w:p>
                  <w:pPr>
                    <w:spacing w:before="0" w:after="0" w:line="240" w:lineRule="auto"/>
                    <w:jc w:val="center"/>
                  </w:pPr>
                  <w:r>
                    <w:rPr>
                      <w:rFonts w:ascii="바탕체" w:hAnsi="바탕체" w:eastAsia="바탕체" w:cs="바탕체"/>
                      <w:b/>
                      <w:sz w:val="20"/>
                      <w:u w:val="none"/>
                    </w:rPr>
                    <w:t>사실 대조</w:t>
                  </w:r>
                </w:p>
              </w:tc>
              <w:tc>
                <w:tcPr>
                  <w:tcW w:type="dxa" w:w="6066"/>
                </w:tcPr>
                <w:p>
                  <w:pPr>
                    <w:spacing w:before="0" w:after="0" w:line="240" w:lineRule="auto"/>
                  </w:pPr>
                  <w:r>
                    <w:rPr>
                      <w:rFonts w:ascii="바탕체" w:hAnsi="바탕체" w:eastAsia="바탕체" w:cs="바탕체"/>
                      <w:b w:val="0"/>
                      <w:sz w:val="20"/>
                      <w:u w:val="none"/>
                    </w:rPr>
                    <w:t>도구가 돌려준 원문에 없는 수치를 쓰면 거부</w:t>
                  </w:r>
                </w:p>
              </w:tc>
            </w:tr>
            <w:tr>
              <w:tc>
                <w:tcPr>
                  <w:tcW w:type="dxa" w:w="1474"/>
                  <w:vAlign w:val="center"/>
                </w:tcPr>
                <w:p>
                  <w:pPr>
                    <w:spacing w:before="0" w:after="0" w:line="240" w:lineRule="auto"/>
                    <w:jc w:val="center"/>
                  </w:pPr>
                  <w:r>
                    <w:rPr>
                      <w:rFonts w:ascii="바탕체" w:hAnsi="바탕체" w:eastAsia="바탕체" w:cs="바탕체"/>
                      <w:b/>
                      <w:sz w:val="20"/>
                      <w:u w:val="none"/>
                    </w:rPr>
                    <w:t>신뢰도 규칙</w:t>
                  </w:r>
                </w:p>
              </w:tc>
              <w:tc>
                <w:tcPr>
                  <w:tcW w:type="dxa" w:w="6066"/>
                </w:tcPr>
                <w:p>
                  <w:pPr>
                    <w:spacing w:before="0" w:after="0" w:line="240" w:lineRule="auto"/>
                  </w:pPr>
                  <w:r>
                    <w:rPr>
                      <w:rFonts w:ascii="바탕체" w:hAnsi="바탕체" w:eastAsia="바탕체" w:cs="바탕체"/>
                      <w:b w:val="0"/>
                      <w:sz w:val="20"/>
                      <w:u w:val="none"/>
                    </w:rPr>
                    <w:t>High 를 주장하려면 근거 3개 이상, 반증 0</w:t>
                  </w:r>
                </w:p>
              </w:tc>
            </w:tr>
            <w:tr>
              <w:tc>
                <w:tcPr>
                  <w:tcW w:type="dxa" w:w="1474"/>
                  <w:vAlign w:val="center"/>
                </w:tcPr>
                <w:p>
                  <w:pPr>
                    <w:spacing w:before="0" w:after="0" w:line="240" w:lineRule="auto"/>
                    <w:jc w:val="center"/>
                  </w:pPr>
                  <w:r>
                    <w:rPr>
                      <w:rFonts w:ascii="바탕체" w:hAnsi="바탕체" w:eastAsia="바탕체" w:cs="바탕체"/>
                      <w:b/>
                      <w:sz w:val="20"/>
                      <w:u w:val="none"/>
                    </w:rPr>
                    <w:t>공백 금지</w:t>
                  </w:r>
                </w:p>
              </w:tc>
              <w:tc>
                <w:tcPr>
                  <w:tcW w:type="dxa" w:w="6066"/>
                </w:tcPr>
                <w:p>
                  <w:pPr>
                    <w:spacing w:before="0" w:after="0" w:line="240" w:lineRule="auto"/>
                  </w:pPr>
                  <w:r>
                    <w:rPr>
                      <w:rFonts w:ascii="바탕체" w:hAnsi="바탕체" w:eastAsia="바탕체" w:cs="바탕체"/>
                      <w:b w:val="0"/>
                      <w:sz w:val="20"/>
                      <w:u w:val="none"/>
                    </w:rPr>
                    <w:t>가설이 없으면 무엇이 부족한지를 명시하게 강제</w:t>
                  </w:r>
                </w:p>
              </w:tc>
            </w:tr>
          </w:tbl>
          <w:p/>
          <w:p>
            <w:pPr>
              <w:spacing w:before="120" w:after="40" w:line="240" w:lineRule="auto"/>
            </w:pPr>
            <w:r>
              <w:rPr>
                <w:rFonts w:ascii="바탕체" w:hAnsi="바탕체" w:eastAsia="바탕체" w:cs="바탕체"/>
                <w:b/>
                <w:sz w:val="20"/>
                <w:u w:val="none"/>
              </w:rPr>
              <w:t>6. 성능 지표와 배포 게이트</w:t>
            </w:r>
          </w:p>
          <w:p>
            <w:pPr>
              <w:spacing w:before="0" w:after="60" w:line="240" w:lineRule="auto"/>
              <w:ind w:left="425" w:hanging="198"/>
            </w:pPr>
            <w:r>
              <w:rPr>
                <w:rFonts w:ascii="바탕체" w:hAnsi="바탕체" w:eastAsia="바탕체" w:cs="바탕체"/>
                <w:b w:val="0"/>
                <w:sz w:val="20"/>
                <w:u w:val="none"/>
              </w:rPr>
              <w:t>- 실측치 : 검색 recall@10 = 0.500 (골든 4건 / 색인 50건). 회귀 러너로 측정했다. 판정 정답률은 1차년 그림자 운영에서 기준선을 실측한 뒤 목표치를 정한다. 임의의 퍼센트를 지금 적지 않는다.</w:t>
            </w:r>
          </w:p>
          <w:p>
            <w:pPr>
              <w:spacing w:before="0" w:after="60" w:line="240" w:lineRule="auto"/>
              <w:ind w:left="425" w:hanging="198"/>
            </w:pPr>
            <w:r>
              <w:rPr>
                <w:rFonts w:ascii="바탕체" w:hAnsi="바탕체" w:eastAsia="바탕체" w:cs="바탕체"/>
                <w:b w:val="0"/>
                <w:sz w:val="20"/>
                <w:u w:val="none"/>
              </w:rPr>
              <w:t>- 고정 지표 : 골든셋 판정 일치율, 검색 recall@10·MRR·precision@3, 건당 처리 시간, 이벤트 처리 누락 건수, 조치 승인율과 반려율.</w:t>
            </w:r>
          </w:p>
          <w:p>
            <w:pPr>
              <w:spacing w:before="0" w:after="60" w:line="240" w:lineRule="auto"/>
              <w:ind w:left="425" w:hanging="198"/>
            </w:pPr>
            <w:r>
              <w:rPr>
                <w:rFonts w:ascii="바탕체" w:hAnsi="바탕체" w:eastAsia="바탕체" w:cs="바탕체"/>
                <w:b w:val="0"/>
                <w:sz w:val="20"/>
                <w:u w:val="none"/>
              </w:rPr>
              <w:t>- 배포 게이트 : 프롬프트·모델·임베딩·색인 중 무엇을 바꾸든 골든셋 회귀 러너를 돌린다. 직전 측정값 대비 하락이 있으면 배포하지 않고, 금지 조치를 건드리면 즉시 실패 처리한다.</w:t>
            </w:r>
          </w:p>
          <w:p>
            <w:pPr>
              <w:spacing w:before="120" w:after="40" w:line="240" w:lineRule="auto"/>
            </w:pPr>
            <w:r>
              <w:rPr>
                <w:rFonts w:ascii="바탕체" w:hAnsi="바탕체" w:eastAsia="바탕체" w:cs="바탕체"/>
                <w:b/>
                <w:sz w:val="20"/>
                <w:u w:val="none"/>
              </w:rPr>
              <w:t>7. 알고리즘 개선을 위해 수행한 과정</w:t>
            </w:r>
          </w:p>
          <w:p>
            <w:pPr>
              <w:spacing w:before="0" w:after="40" w:line="240" w:lineRule="auto"/>
              <w:ind w:left="425" w:hanging="198"/>
            </w:pPr>
            <w:r>
              <w:rPr>
                <w:rFonts w:ascii="바탕체" w:hAnsi="바탕체" w:eastAsia="바탕체" w:cs="바탕체"/>
                <w:b w:val="0"/>
                <w:sz w:val="20"/>
                <w:u w:val="none"/>
              </w:rPr>
              <w:t>- 환각 발생원 제거 : 통계 계산·공통성 분석·map 분류·SQL 조회를 전부 코드로 옮기고 LLM 에는 결과만 넘겼다. 숫자를 지어낼 자리가 구조적으로 없다.</w:t>
            </w:r>
          </w:p>
          <w:p>
            <w:pPr>
              <w:spacing w:before="0" w:after="40" w:line="240" w:lineRule="auto"/>
              <w:ind w:left="425" w:hanging="198"/>
            </w:pPr>
            <w:r>
              <w:rPr>
                <w:rFonts w:ascii="바탕체" w:hAnsi="바탕체" w:eastAsia="바탕체" w:cs="바탕체"/>
                <w:b w:val="0"/>
                <w:sz w:val="20"/>
                <w:u w:val="none"/>
              </w:rPr>
              <w:t>- 검색 3층 분기 : 한 원문에서 원문·병기 확장문 임베딩·형태소 색인어를 각각 독립으로 만든다. 한쪽 출력이 다른 쪽 입력이 되면 오염이 누적되므로 상호 참조를 막았다.</w:t>
            </w:r>
          </w:p>
          <w:p>
            <w:pPr>
              <w:spacing w:before="0" w:after="40" w:line="240" w:lineRule="auto"/>
              <w:ind w:left="425" w:hanging="198"/>
            </w:pPr>
            <w:r>
              <w:rPr>
                <w:rFonts w:ascii="바탕체" w:hAnsi="바탕체" w:eastAsia="바탕체" w:cs="바탕체"/>
                <w:b w:val="0"/>
                <w:sz w:val="20"/>
                <w:u w:val="none"/>
              </w:rPr>
              <w:t>- 용어 사전 병기 : ACI 를 After Clean Inspection, 세정 후 계측으로 함께 적되 그 용어가 실제 나온 문서에만 적용했다. 전 문서에 도장을 찍으면 IDF 가 무너진다. 최대 수혜자는 BM25 다.</w:t>
            </w:r>
          </w:p>
          <w:p>
            <w:pPr>
              <w:spacing w:before="0" w:after="40" w:line="240" w:lineRule="auto"/>
              <w:ind w:left="425" w:hanging="198"/>
            </w:pPr>
            <w:r>
              <w:rPr>
                <w:rFonts w:ascii="바탕체" w:hAnsi="바탕체" w:eastAsia="바탕체" w:cs="바탕체"/>
                <w:b w:val="0"/>
                <w:sz w:val="20"/>
                <w:u w:val="none"/>
              </w:rPr>
              <w:t>- 색인 정규화 통일 : 설비 ID 를 통짜로 보호한 뒤 형태소 분석·품사 필터·원형 복원을 거치고, 적재와 질의에 같은 함수를 쓰도록 강제했다. 원문을 보존하므로 사전이 바뀌면 재색인 한 번으로 반영된다.</w:t>
            </w:r>
          </w:p>
          <w:p>
            <w:pPr>
              <w:spacing w:before="0" w:after="40" w:line="240" w:lineRule="auto"/>
              <w:ind w:left="425" w:hanging="198"/>
            </w:pPr>
            <w:r>
              <w:rPr>
                <w:rFonts w:ascii="바탕체" w:hAnsi="바탕체" w:eastAsia="바탕체" w:cs="바탕체"/>
                <w:b w:val="0"/>
                <w:sz w:val="20"/>
                <w:u w:val="none"/>
              </w:rPr>
              <w:t>- 재검색과 리랭크 : RAG 가 한 번 찾고 끝내지 않는다. 근거가 부족하면 질의를 바꿔 다시 찾고, 후보 200건을 리랭커로 20건까지 좁힌다. 벡터 색인은 halfvec 으로 크기를 절반으로 줄였다.</w:t>
            </w:r>
          </w:p>
          <w:p>
            <w:pPr>
              <w:spacing w:before="0" w:after="40" w:line="240" w:lineRule="auto"/>
              <w:ind w:left="425" w:hanging="198"/>
            </w:pPr>
            <w:r>
              <w:rPr>
                <w:rFonts w:ascii="바탕체" w:hAnsi="바탕체" w:eastAsia="바탕체" w:cs="바탕체"/>
                <w:b w:val="0"/>
                <w:sz w:val="20"/>
                <w:u w:val="none"/>
              </w:rPr>
              <w:t>- 캐시 사고 방지 : 판단 결과에는 semantic cache 를 금지했다. 지난주의 답을 재사용하면 그게 사고다.</w:t>
            </w:r>
          </w:p>
          <w:p>
            <w:pPr>
              <w:spacing w:before="0" w:after="40" w:line="240" w:lineRule="auto"/>
              <w:ind w:left="425" w:hanging="198"/>
            </w:pPr>
            <w:r>
              <w:rPr>
                <w:rFonts w:ascii="바탕체" w:hAnsi="바탕체" w:eastAsia="바탕체" w:cs="바탕체"/>
                <w:b w:val="0"/>
                <w:sz w:val="20"/>
                <w:u w:val="none"/>
              </w:rPr>
              <w:t>- 학습 루프 : 엔지니어 피드백을 데이터셋으로 쌓아 월 4회 반영하고 회귀를 통과한 것만 배포한다. 모든 판정에 근거·신뢰도·모델 버전을 남겨 재현성과 감사 대응을 확보했다.</w:t>
            </w:r>
          </w:p>
          <w:p>
            <w:pPr>
              <w:spacing w:before="0" w:after="40" w:line="240" w:lineRule="auto"/>
              <w:ind w:left="425" w:hanging="198"/>
            </w:pPr>
            <w:r>
              <w:rPr>
                <w:rFonts w:ascii="바탕체" w:hAnsi="바탕체" w:eastAsia="바탕체" w:cs="바탕체"/>
                <w:b w:val="0"/>
                <w:sz w:val="20"/>
                <w:u w:val="none"/>
              </w:rPr>
              <w:t>- 기간계 보호 : 운영계에 직접 붙지 않고 정보계를 경유한다. 조회 전용 계정, 허용 뷰, 타임아웃, 행 수 제한, 사건당 캐시를 건다.</w:t>
            </w:r>
          </w:p>
        </w:tc>
      </w:tr>
    </w:tbl>
    <w:p>
      <w:pPr>
        <w:spacing w:before="0" w:after="0" w:line="120" w:lineRule="auto"/>
      </w:pPr>
      <w:r>
        <w:rPr>
          <w:rFonts w:ascii="바탕체" w:hAnsi="바탕체" w:eastAsia="바탕체" w:cs="바탕체"/>
          <w:b w:val="0"/>
          <w:sz w:val="2"/>
          <w:u w:val="none"/>
        </w:rPr>
        <w:br w:type="page"/>
      </w:r>
    </w:p>
    <w:tbl>
      <w:tblPr>
        <w:tblStyle w:val="TableGrid"/>
        <w:tblW w:type="dxa" w:w="9065"/>
        <w:tblLayout w:type="fixed"/>
        <w:tblLook w:firstColumn="1" w:firstRow="1" w:lastColumn="0" w:lastRow="0" w:noHBand="0" w:noVBand="1" w:val="04A0"/>
      </w:tblPr>
      <w:tblGrid>
        <w:gridCol w:w="1269"/>
        <w:gridCol w:w="7795"/>
      </w:tblGrid>
      <w:tr>
        <w:trPr>
          <w:trHeight w:hRule="atLeast" w:val="397"/>
        </w:trPr>
        <w:tc>
          <w:tcPr>
            <w:tcW w:type="dxa" w:w="9065"/>
            <w:gridSpan w:val="2"/>
            <w:vAlign w:val="center"/>
            <w:shd w:val="clear" w:color="auto" w:fill="F2F2F2"/>
          </w:tcPr>
          <w:p>
            <w:pPr>
              <w:spacing w:before="0" w:after="0" w:line="240" w:lineRule="auto"/>
            </w:pPr>
            <w:r>
              <w:rPr>
                <w:rFonts w:ascii="바탕체" w:hAnsi="바탕체" w:eastAsia="바탕체" w:cs="바탕체"/>
                <w:b/>
                <w:sz w:val="24"/>
                <w:u w:val="none"/>
              </w:rPr>
              <w:t>IIII. 경영효과</w:t>
            </w:r>
          </w:p>
        </w:tc>
      </w:tr>
      <w:tr>
        <w:trPr>
          <w:trHeight w:hRule="atLeast" w:val="13096"/>
        </w:trPr>
        <w:tc>
          <w:tcPr>
            <w:tcW w:type="dxa" w:w="1270"/>
            <w:vAlign w:val="top"/>
          </w:tcPr>
          <w:p>
            <w:pPr>
              <w:spacing w:before="0" w:after="0" w:line="240" w:lineRule="auto"/>
              <w:jc w:val="center"/>
            </w:pPr>
            <w:r>
              <w:rPr>
                <w:rFonts w:ascii="바탕체" w:hAnsi="바탕체" w:eastAsia="바탕체" w:cs="바탕체"/>
                <w:b/>
                <w:sz w:val="22"/>
                <w:u w:val="none"/>
              </w:rPr>
              <w:t>예상 성과</w:t>
            </w:r>
          </w:p>
        </w:tc>
        <w:tc>
          <w:tcPr>
            <w:tcW w:type="dxa" w:w="7795"/>
            <w:vAlign w:val="top"/>
          </w:tcPr>
          <w:p>
            <w:pPr>
              <w:spacing w:before="0" w:after="80" w:line="240" w:lineRule="auto"/>
            </w:pPr>
            <w:r>
              <w:rPr>
                <w:rFonts w:ascii="바탕체" w:hAnsi="바탕체" w:eastAsia="바탕체" w:cs="바탕체"/>
                <w:b/>
                <w:sz w:val="20"/>
                <w:u w:val="none"/>
              </w:rPr>
              <w:t>2개년 단계 과제로, 아래는 산출식이 명시된 예상 성과다. 1차년은 포토 1개 공정 파일럿이라 효과를 전면 산정에 넣지 않고 실측 구간으로 둔다.</w:t>
            </w:r>
          </w:p>
          <w:p>
            <w:pPr>
              <w:spacing w:before="0" w:after="40" w:line="240" w:lineRule="auto"/>
            </w:pPr>
            <w:r>
              <w:rPr>
                <w:rFonts w:ascii="바탕체" w:hAnsi="바탕체" w:eastAsia="바탕체" w:cs="바탕체"/>
                <w:b/>
                <w:sz w:val="20"/>
                <w:u w:val="none"/>
              </w:rPr>
              <w:t>유형 효과 (정량)</w:t>
            </w:r>
          </w:p>
          <w:p>
            <w:pPr>
              <w:spacing w:before="0" w:after="40" w:line="240" w:lineRule="auto"/>
              <w:ind w:left="227"/>
            </w:pPr>
            <w:r>
              <w:rPr>
                <w:rFonts w:ascii="바탕체" w:hAnsi="바탕체" w:eastAsia="바탕체" w:cs="바탕체"/>
                <w:b w:val="0"/>
                <w:sz w:val="20"/>
                <w:u w:val="none"/>
              </w:rPr>
              <w:t>[ (개선 전 4h ÷ 8h) − (개선 후 2h ÷ 8h) ] × 연봉 80,000,000원 × 1,000명 = 연 200억 원</w:t>
            </w:r>
          </w:p>
          <w:tbl>
            <w:tblPr>
              <w:tblStyle w:val="TableGrid"/>
              <w:tblW w:type="dxa" w:w="7540"/>
              <w:tblLayout w:type="fixed"/>
              <w:tblLook w:firstColumn="1" w:firstRow="1" w:lastColumn="0" w:lastRow="0" w:noHBand="0" w:noVBand="1" w:val="04A0"/>
            </w:tblPr>
            <w:tblGrid>
              <w:gridCol w:w="1927"/>
              <w:gridCol w:w="5612"/>
            </w:tblGrid>
            <w:tr>
              <w:tc>
                <w:tcPr>
                  <w:tcW w:type="dxa" w:w="1928"/>
                  <w:vAlign w:val="center"/>
                </w:tcPr>
                <w:p>
                  <w:pPr>
                    <w:spacing w:before="0" w:after="0" w:line="240" w:lineRule="auto"/>
                    <w:jc w:val="center"/>
                  </w:pPr>
                  <w:r>
                    <w:rPr>
                      <w:rFonts w:ascii="바탕체" w:hAnsi="바탕체" w:eastAsia="바탕체" w:cs="바탕체"/>
                      <w:b/>
                      <w:sz w:val="20"/>
                      <w:u w:val="none"/>
                    </w:rPr>
                    <w:t>연간 기대효과</w:t>
                  </w:r>
                </w:p>
              </w:tc>
              <w:tc>
                <w:tcPr>
                  <w:tcW w:type="dxa" w:w="5613"/>
                </w:tcPr>
                <w:p>
                  <w:pPr>
                    <w:spacing w:before="0" w:after="0" w:line="240" w:lineRule="auto"/>
                  </w:pPr>
                  <w:r>
                    <w:rPr>
                      <w:rFonts w:ascii="바탕체" w:hAnsi="바탕체" w:eastAsia="바탕체" w:cs="바탕체"/>
                      <w:b w:val="0"/>
                      <w:sz w:val="20"/>
                      <w:u w:val="none"/>
                    </w:rPr>
                    <w:t>200억 원 — 3개 공정 확산 완료 후 1,000명 전면 적용 기준</w:t>
                  </w:r>
                </w:p>
              </w:tc>
            </w:tr>
            <w:tr>
              <w:tc>
                <w:tcPr>
                  <w:tcW w:type="dxa" w:w="1928"/>
                  <w:vAlign w:val="center"/>
                </w:tcPr>
                <w:p>
                  <w:pPr>
                    <w:spacing w:before="0" w:after="0" w:line="240" w:lineRule="auto"/>
                    <w:jc w:val="center"/>
                  </w:pPr>
                  <w:r>
                    <w:rPr>
                      <w:rFonts w:ascii="바탕체" w:hAnsi="바탕체" w:eastAsia="바탕체" w:cs="바탕체"/>
                      <w:b/>
                      <w:sz w:val="20"/>
                      <w:u w:val="none"/>
                    </w:rPr>
                    <w:t>연간 투자</w:t>
                  </w:r>
                </w:p>
              </w:tc>
              <w:tc>
                <w:tcPr>
                  <w:tcW w:type="dxa" w:w="5613"/>
                </w:tcPr>
                <w:p>
                  <w:pPr>
                    <w:spacing w:before="0" w:after="0" w:line="240" w:lineRule="auto"/>
                  </w:pPr>
                  <w:r>
                    <w:rPr>
                      <w:rFonts w:ascii="바탕체" w:hAnsi="바탕체" w:eastAsia="바탕체" w:cs="바탕체"/>
                      <w:b w:val="0"/>
                      <w:sz w:val="20"/>
                      <w:u w:val="none"/>
                    </w:rPr>
                    <w:t>347,794,165원 (사내 과금 기준)</w:t>
                  </w:r>
                </w:p>
              </w:tc>
            </w:tr>
            <w:tr>
              <w:tc>
                <w:tcPr>
                  <w:tcW w:type="dxa" w:w="1928"/>
                  <w:vAlign w:val="center"/>
                </w:tcPr>
                <w:p>
                  <w:pPr>
                    <w:spacing w:before="0" w:after="0" w:line="240" w:lineRule="auto"/>
                    <w:jc w:val="center"/>
                  </w:pPr>
                  <w:r>
                    <w:rPr>
                      <w:rFonts w:ascii="바탕체" w:hAnsi="바탕체" w:eastAsia="바탕체" w:cs="바탕체"/>
                      <w:b/>
                      <w:sz w:val="20"/>
                      <w:u w:val="none"/>
                    </w:rPr>
                    <w:t>2개년 총투자</w:t>
                  </w:r>
                </w:p>
              </w:tc>
              <w:tc>
                <w:tcPr>
                  <w:tcW w:type="dxa" w:w="5613"/>
                </w:tcPr>
                <w:p>
                  <w:pPr>
                    <w:spacing w:before="0" w:after="0" w:line="240" w:lineRule="auto"/>
                  </w:pPr>
                  <w:r>
                    <w:rPr>
                      <w:rFonts w:ascii="바탕체" w:hAnsi="바탕체" w:eastAsia="바탕체" w:cs="바탕체"/>
                      <w:b w:val="0"/>
                      <w:sz w:val="20"/>
                      <w:u w:val="none"/>
                    </w:rPr>
                    <w:t>695,588,330원. 공정이 3개로 늘어도 추가 자원을 요청하지 않는다</w:t>
                  </w:r>
                </w:p>
              </w:tc>
            </w:tr>
            <w:tr>
              <w:tc>
                <w:tcPr>
                  <w:tcW w:type="dxa" w:w="1928"/>
                  <w:vAlign w:val="center"/>
                </w:tcPr>
                <w:p>
                  <w:pPr>
                    <w:spacing w:before="0" w:after="0" w:line="240" w:lineRule="auto"/>
                    <w:jc w:val="center"/>
                  </w:pPr>
                  <w:r>
                    <w:rPr>
                      <w:rFonts w:ascii="바탕체" w:hAnsi="바탕체" w:eastAsia="바탕체" w:cs="바탕체"/>
                      <w:b/>
                      <w:sz w:val="20"/>
                      <w:u w:val="none"/>
                    </w:rPr>
                    <w:t>연간 ROI</w:t>
                  </w:r>
                </w:p>
              </w:tc>
              <w:tc>
                <w:tcPr>
                  <w:tcW w:type="dxa" w:w="5613"/>
                </w:tcPr>
                <w:p>
                  <w:pPr>
                    <w:spacing w:before="0" w:after="0" w:line="240" w:lineRule="auto"/>
                  </w:pPr>
                  <w:r>
                    <w:rPr>
                      <w:rFonts w:ascii="바탕체" w:hAnsi="바탕체" w:eastAsia="바탕체" w:cs="바탕체"/>
                      <w:b w:val="0"/>
                      <w:sz w:val="20"/>
                      <w:u w:val="none"/>
                    </w:rPr>
                    <w:t>약 57.5배 — 투자 회수 약 6.3일</w:t>
                  </w:r>
                </w:p>
              </w:tc>
            </w:tr>
            <w:tr>
              <w:tc>
                <w:tcPr>
                  <w:tcW w:type="dxa" w:w="1928"/>
                  <w:vAlign w:val="center"/>
                </w:tcPr>
                <w:p>
                  <w:pPr>
                    <w:spacing w:before="0" w:after="0" w:line="240" w:lineRule="auto"/>
                    <w:jc w:val="center"/>
                  </w:pPr>
                  <w:r>
                    <w:rPr>
                      <w:rFonts w:ascii="바탕체" w:hAnsi="바탕체" w:eastAsia="바탕체" w:cs="바탕체"/>
                      <w:b/>
                      <w:sz w:val="20"/>
                      <w:u w:val="none"/>
                    </w:rPr>
                    <w:t>총투자 기준 회수</w:t>
                  </w:r>
                </w:p>
              </w:tc>
              <w:tc>
                <w:tcPr>
                  <w:tcW w:type="dxa" w:w="5613"/>
                </w:tcPr>
                <w:p>
                  <w:pPr>
                    <w:spacing w:before="0" w:after="0" w:line="240" w:lineRule="auto"/>
                  </w:pPr>
                  <w:r>
                    <w:rPr>
                      <w:rFonts w:ascii="바탕체" w:hAnsi="바탕체" w:eastAsia="바탕체" w:cs="바탕체"/>
                      <w:b w:val="0"/>
                      <w:sz w:val="20"/>
                      <w:u w:val="none"/>
                    </w:rPr>
                    <w:t>약 12.7일 (완전 가동 1년 효과로 2개년 투자 회수)</w:t>
                  </w:r>
                </w:p>
              </w:tc>
            </w:tr>
          </w:tbl>
          <w:p/>
          <w:p>
            <w:pPr>
              <w:spacing w:before="120" w:after="40" w:line="240" w:lineRule="auto"/>
            </w:pPr>
            <w:r>
              <w:rPr>
                <w:rFonts w:ascii="바탕체" w:hAnsi="바탕체" w:eastAsia="바탕체" w:cs="바탕체"/>
                <w:b/>
                <w:sz w:val="20"/>
                <w:u w:val="none"/>
              </w:rPr>
              <w:t>민감도 — 목표를 절반만 달성해도 남는다</w:t>
            </w:r>
          </w:p>
          <w:tbl>
            <w:tblPr>
              <w:tblStyle w:val="TableGrid"/>
              <w:tblW w:type="dxa" w:w="7540"/>
              <w:tblLayout w:type="fixed"/>
              <w:tblLook w:firstColumn="1" w:firstRow="1" w:lastColumn="0" w:lastRow="0" w:noHBand="0" w:noVBand="1" w:val="04A0"/>
            </w:tblPr>
            <w:tblGrid>
              <w:gridCol w:w="2040"/>
              <w:gridCol w:w="1474"/>
              <w:gridCol w:w="1927"/>
              <w:gridCol w:w="2097"/>
            </w:tblGrid>
            <w:tr>
              <w:trPr>
                <w:trHeight w:hRule="atLeast" w:val="272"/>
              </w:trPr>
              <w:tc>
                <w:tcPr>
                  <w:tcW w:type="dxa" w:w="2041"/>
                  <w:vAlign w:val="center"/>
                  <w:shd w:val="clear" w:color="auto" w:fill="F2F2F2"/>
                </w:tcPr>
                <w:p>
                  <w:pPr>
                    <w:spacing w:before="0" w:after="0" w:line="240" w:lineRule="auto"/>
                    <w:jc w:val="center"/>
                  </w:pPr>
                  <w:r>
                    <w:rPr>
                      <w:rFonts w:ascii="바탕체" w:hAnsi="바탕체" w:eastAsia="바탕체" w:cs="바탕체"/>
                      <w:b/>
                      <w:sz w:val="20"/>
                      <w:u w:val="none"/>
                    </w:rPr>
                    <w:t>목표 판정 시간</w:t>
                  </w:r>
                </w:p>
              </w:tc>
              <w:tc>
                <w:tcPr>
                  <w:tcW w:type="dxa" w:w="1474"/>
                  <w:vAlign w:val="center"/>
                  <w:shd w:val="clear" w:color="auto" w:fill="F2F2F2"/>
                </w:tcPr>
                <w:p>
                  <w:pPr>
                    <w:spacing w:before="0" w:after="0" w:line="240" w:lineRule="auto"/>
                    <w:jc w:val="center"/>
                  </w:pPr>
                  <w:r>
                    <w:rPr>
                      <w:rFonts w:ascii="바탕체" w:hAnsi="바탕체" w:eastAsia="바탕체" w:cs="바탕체"/>
                      <w:b/>
                      <w:sz w:val="20"/>
                      <w:u w:val="none"/>
                    </w:rPr>
                    <w:t>절감 비율</w:t>
                  </w:r>
                </w:p>
              </w:tc>
              <w:tc>
                <w:tcPr>
                  <w:tcW w:type="dxa" w:w="1928"/>
                  <w:vAlign w:val="center"/>
                  <w:shd w:val="clear" w:color="auto" w:fill="F2F2F2"/>
                </w:tcPr>
                <w:p>
                  <w:pPr>
                    <w:spacing w:before="0" w:after="0" w:line="240" w:lineRule="auto"/>
                    <w:jc w:val="center"/>
                  </w:pPr>
                  <w:r>
                    <w:rPr>
                      <w:rFonts w:ascii="바탕체" w:hAnsi="바탕체" w:eastAsia="바탕체" w:cs="바탕체"/>
                      <w:b/>
                      <w:sz w:val="20"/>
                      <w:u w:val="none"/>
                    </w:rPr>
                    <w:t>연간 기대효과</w:t>
                  </w:r>
                </w:p>
              </w:tc>
              <w:tc>
                <w:tcPr>
                  <w:tcW w:type="dxa" w:w="2098"/>
                  <w:vAlign w:val="center"/>
                  <w:shd w:val="clear" w:color="auto" w:fill="F2F2F2"/>
                </w:tcPr>
                <w:p>
                  <w:pPr>
                    <w:spacing w:before="0" w:after="0" w:line="240" w:lineRule="auto"/>
                    <w:jc w:val="center"/>
                  </w:pPr>
                  <w:r>
                    <w:rPr>
                      <w:rFonts w:ascii="바탕체" w:hAnsi="바탕체" w:eastAsia="바탕체" w:cs="바탕체"/>
                      <w:b/>
                      <w:sz w:val="20"/>
                      <w:u w:val="none"/>
                    </w:rPr>
                    <w:t>연간 ROI</w:t>
                  </w:r>
                </w:p>
              </w:tc>
            </w:tr>
            <w:tr>
              <w:tc>
                <w:tcPr>
                  <w:tcW w:type="dxa" w:w="2041"/>
                  <w:vAlign w:val="center"/>
                </w:tcPr>
                <w:p>
                  <w:pPr>
                    <w:spacing w:before="0" w:after="0" w:line="240" w:lineRule="auto"/>
                    <w:jc w:val="center"/>
                  </w:pPr>
                  <w:r>
                    <w:rPr>
                      <w:rFonts w:ascii="바탕체" w:hAnsi="바탕체" w:eastAsia="바탕체" w:cs="바탕체"/>
                      <w:b/>
                      <w:sz w:val="20"/>
                      <w:u w:val="none"/>
                    </w:rPr>
                    <w:t>2.0시간 (기준)</w:t>
                  </w:r>
                </w:p>
              </w:tc>
              <w:tc>
                <w:tcPr>
                  <w:tcW w:type="dxa" w:w="1474"/>
                </w:tcPr>
                <w:p>
                  <w:pPr>
                    <w:spacing w:before="0" w:after="0" w:line="240" w:lineRule="auto"/>
                  </w:pPr>
                  <w:r>
                    <w:rPr>
                      <w:rFonts w:ascii="바탕체" w:hAnsi="바탕체" w:eastAsia="바탕체" w:cs="바탕체"/>
                      <w:b w:val="0"/>
                      <w:sz w:val="20"/>
                      <w:u w:val="none"/>
                    </w:rPr>
                    <w:t>25.0%</w:t>
                  </w:r>
                </w:p>
              </w:tc>
              <w:tc>
                <w:tcPr>
                  <w:tcW w:type="dxa" w:w="1928"/>
                </w:tcPr>
                <w:p>
                  <w:pPr>
                    <w:spacing w:before="0" w:after="0" w:line="240" w:lineRule="auto"/>
                  </w:pPr>
                  <w:r>
                    <w:rPr>
                      <w:rFonts w:ascii="바탕체" w:hAnsi="바탕체" w:eastAsia="바탕체" w:cs="바탕체"/>
                      <w:b w:val="0"/>
                      <w:sz w:val="20"/>
                      <w:u w:val="none"/>
                    </w:rPr>
                    <w:t>200억</w:t>
                  </w:r>
                </w:p>
              </w:tc>
              <w:tc>
                <w:tcPr>
                  <w:tcW w:type="dxa" w:w="2098"/>
                </w:tcPr>
                <w:p>
                  <w:pPr>
                    <w:spacing w:before="0" w:after="0" w:line="240" w:lineRule="auto"/>
                  </w:pPr>
                  <w:r>
                    <w:rPr>
                      <w:rFonts w:ascii="바탕체" w:hAnsi="바탕체" w:eastAsia="바탕체" w:cs="바탕체"/>
                      <w:b w:val="0"/>
                      <w:sz w:val="20"/>
                      <w:u w:val="none"/>
                    </w:rPr>
                    <w:t>57.5배</w:t>
                  </w:r>
                </w:p>
              </w:tc>
            </w:tr>
            <w:tr>
              <w:tc>
                <w:tcPr>
                  <w:tcW w:type="dxa" w:w="2041"/>
                  <w:vAlign w:val="center"/>
                </w:tcPr>
                <w:p>
                  <w:pPr>
                    <w:spacing w:before="0" w:after="0" w:line="240" w:lineRule="auto"/>
                    <w:jc w:val="center"/>
                  </w:pPr>
                  <w:r>
                    <w:rPr>
                      <w:rFonts w:ascii="바탕체" w:hAnsi="바탕체" w:eastAsia="바탕체" w:cs="바탕체"/>
                      <w:b/>
                      <w:sz w:val="20"/>
                      <w:u w:val="none"/>
                    </w:rPr>
                    <w:t>2.5시간</w:t>
                  </w:r>
                </w:p>
              </w:tc>
              <w:tc>
                <w:tcPr>
                  <w:tcW w:type="dxa" w:w="1474"/>
                </w:tcPr>
                <w:p>
                  <w:pPr>
                    <w:spacing w:before="0" w:after="0" w:line="240" w:lineRule="auto"/>
                  </w:pPr>
                  <w:r>
                    <w:rPr>
                      <w:rFonts w:ascii="바탕체" w:hAnsi="바탕체" w:eastAsia="바탕체" w:cs="바탕체"/>
                      <w:b w:val="0"/>
                      <w:sz w:val="20"/>
                      <w:u w:val="none"/>
                    </w:rPr>
                    <w:t>18.8%</w:t>
                  </w:r>
                </w:p>
              </w:tc>
              <w:tc>
                <w:tcPr>
                  <w:tcW w:type="dxa" w:w="1928"/>
                </w:tcPr>
                <w:p>
                  <w:pPr>
                    <w:spacing w:before="0" w:after="0" w:line="240" w:lineRule="auto"/>
                  </w:pPr>
                  <w:r>
                    <w:rPr>
                      <w:rFonts w:ascii="바탕체" w:hAnsi="바탕체" w:eastAsia="바탕체" w:cs="바탕체"/>
                      <w:b w:val="0"/>
                      <w:sz w:val="20"/>
                      <w:u w:val="none"/>
                    </w:rPr>
                    <w:t>150억</w:t>
                  </w:r>
                </w:p>
              </w:tc>
              <w:tc>
                <w:tcPr>
                  <w:tcW w:type="dxa" w:w="2098"/>
                </w:tcPr>
                <w:p>
                  <w:pPr>
                    <w:spacing w:before="0" w:after="0" w:line="240" w:lineRule="auto"/>
                  </w:pPr>
                  <w:r>
                    <w:rPr>
                      <w:rFonts w:ascii="바탕체" w:hAnsi="바탕체" w:eastAsia="바탕체" w:cs="바탕체"/>
                      <w:b w:val="0"/>
                      <w:sz w:val="20"/>
                      <w:u w:val="none"/>
                    </w:rPr>
                    <w:t>43.1배</w:t>
                  </w:r>
                </w:p>
              </w:tc>
            </w:tr>
            <w:tr>
              <w:tc>
                <w:tcPr>
                  <w:tcW w:type="dxa" w:w="2041"/>
                  <w:vAlign w:val="center"/>
                </w:tcPr>
                <w:p>
                  <w:pPr>
                    <w:spacing w:before="0" w:after="0" w:line="240" w:lineRule="auto"/>
                    <w:jc w:val="center"/>
                  </w:pPr>
                  <w:r>
                    <w:rPr>
                      <w:rFonts w:ascii="바탕체" w:hAnsi="바탕체" w:eastAsia="바탕체" w:cs="바탕체"/>
                      <w:b/>
                      <w:sz w:val="20"/>
                      <w:u w:val="none"/>
                    </w:rPr>
                    <w:t>3.0시간</w:t>
                  </w:r>
                </w:p>
              </w:tc>
              <w:tc>
                <w:tcPr>
                  <w:tcW w:type="dxa" w:w="1474"/>
                </w:tcPr>
                <w:p>
                  <w:pPr>
                    <w:spacing w:before="0" w:after="0" w:line="240" w:lineRule="auto"/>
                  </w:pPr>
                  <w:r>
                    <w:rPr>
                      <w:rFonts w:ascii="바탕체" w:hAnsi="바탕체" w:eastAsia="바탕체" w:cs="바탕체"/>
                      <w:b w:val="0"/>
                      <w:sz w:val="20"/>
                      <w:u w:val="none"/>
                    </w:rPr>
                    <w:t>12.5%</w:t>
                  </w:r>
                </w:p>
              </w:tc>
              <w:tc>
                <w:tcPr>
                  <w:tcW w:type="dxa" w:w="1928"/>
                </w:tcPr>
                <w:p>
                  <w:pPr>
                    <w:spacing w:before="0" w:after="0" w:line="240" w:lineRule="auto"/>
                  </w:pPr>
                  <w:r>
                    <w:rPr>
                      <w:rFonts w:ascii="바탕체" w:hAnsi="바탕체" w:eastAsia="바탕체" w:cs="바탕체"/>
                      <w:b w:val="0"/>
                      <w:sz w:val="20"/>
                      <w:u w:val="none"/>
                    </w:rPr>
                    <w:t>100억</w:t>
                  </w:r>
                </w:p>
              </w:tc>
              <w:tc>
                <w:tcPr>
                  <w:tcW w:type="dxa" w:w="2098"/>
                </w:tcPr>
                <w:p>
                  <w:pPr>
                    <w:spacing w:before="0" w:after="0" w:line="240" w:lineRule="auto"/>
                  </w:pPr>
                  <w:r>
                    <w:rPr>
                      <w:rFonts w:ascii="바탕체" w:hAnsi="바탕체" w:eastAsia="바탕체" w:cs="바탕체"/>
                      <w:b w:val="0"/>
                      <w:sz w:val="20"/>
                      <w:u w:val="none"/>
                    </w:rPr>
                    <w:t>28.8배</w:t>
                  </w:r>
                </w:p>
              </w:tc>
            </w:tr>
            <w:tr>
              <w:tc>
                <w:tcPr>
                  <w:tcW w:type="dxa" w:w="2041"/>
                  <w:vAlign w:val="center"/>
                </w:tcPr>
                <w:p>
                  <w:pPr>
                    <w:spacing w:before="0" w:after="0" w:line="240" w:lineRule="auto"/>
                    <w:jc w:val="center"/>
                  </w:pPr>
                  <w:r>
                    <w:rPr>
                      <w:rFonts w:ascii="바탕체" w:hAnsi="바탕체" w:eastAsia="바탕체" w:cs="바탕체"/>
                      <w:b/>
                      <w:sz w:val="20"/>
                      <w:u w:val="none"/>
                    </w:rPr>
                    <w:t>3.5시간</w:t>
                  </w:r>
                </w:p>
              </w:tc>
              <w:tc>
                <w:tcPr>
                  <w:tcW w:type="dxa" w:w="1474"/>
                </w:tcPr>
                <w:p>
                  <w:pPr>
                    <w:spacing w:before="0" w:after="0" w:line="240" w:lineRule="auto"/>
                  </w:pPr>
                  <w:r>
                    <w:rPr>
                      <w:rFonts w:ascii="바탕체" w:hAnsi="바탕체" w:eastAsia="바탕체" w:cs="바탕체"/>
                      <w:b w:val="0"/>
                      <w:sz w:val="20"/>
                      <w:u w:val="none"/>
                    </w:rPr>
                    <w:t>6.3%</w:t>
                  </w:r>
                </w:p>
              </w:tc>
              <w:tc>
                <w:tcPr>
                  <w:tcW w:type="dxa" w:w="1928"/>
                </w:tcPr>
                <w:p>
                  <w:pPr>
                    <w:spacing w:before="0" w:after="0" w:line="240" w:lineRule="auto"/>
                  </w:pPr>
                  <w:r>
                    <w:rPr>
                      <w:rFonts w:ascii="바탕체" w:hAnsi="바탕체" w:eastAsia="바탕체" w:cs="바탕체"/>
                      <w:b w:val="0"/>
                      <w:sz w:val="20"/>
                      <w:u w:val="none"/>
                    </w:rPr>
                    <w:t>50억</w:t>
                  </w:r>
                </w:p>
              </w:tc>
              <w:tc>
                <w:tcPr>
                  <w:tcW w:type="dxa" w:w="2098"/>
                </w:tcPr>
                <w:p>
                  <w:pPr>
                    <w:spacing w:before="0" w:after="0" w:line="240" w:lineRule="auto"/>
                  </w:pPr>
                  <w:r>
                    <w:rPr>
                      <w:rFonts w:ascii="바탕체" w:hAnsi="바탕체" w:eastAsia="바탕체" w:cs="바탕체"/>
                      <w:b w:val="0"/>
                      <w:sz w:val="20"/>
                      <w:u w:val="none"/>
                    </w:rPr>
                    <w:t>14.4배</w:t>
                  </w:r>
                </w:p>
              </w:tc>
            </w:tr>
          </w:tbl>
          <w:p/>
          <w:p>
            <w:pPr>
              <w:spacing w:before="40" w:after="0" w:line="240" w:lineRule="auto"/>
              <w:ind w:left="227"/>
            </w:pPr>
            <w:r>
              <w:rPr>
                <w:rFonts w:ascii="바탕체" w:hAnsi="바탕체" w:eastAsia="바탕체" w:cs="바탕체"/>
                <w:b w:val="0"/>
                <w:sz w:val="20"/>
                <w:u w:val="none"/>
              </w:rPr>
              <w:t>하루 4시간에서 3.5시간, 30분만 줄여도 ROI 14배다.</w:t>
            </w:r>
          </w:p>
          <w:p>
            <w:pPr>
              <w:spacing w:before="120" w:after="40" w:line="240" w:lineRule="auto"/>
            </w:pPr>
            <w:r>
              <w:rPr>
                <w:rFonts w:ascii="바탕체" w:hAnsi="바탕체" w:eastAsia="바탕체" w:cs="바탕체"/>
                <w:b/>
                <w:sz w:val="20"/>
                <w:u w:val="none"/>
              </w:rPr>
              <w:t>무형 효과 (정성)</w:t>
            </w:r>
          </w:p>
          <w:tbl>
            <w:tblPr>
              <w:tblStyle w:val="TableGrid"/>
              <w:tblW w:type="dxa" w:w="7540"/>
              <w:tblLayout w:type="fixed"/>
              <w:tblLook w:firstColumn="1" w:firstRow="1" w:lastColumn="0" w:lastRow="0" w:noHBand="0" w:noVBand="1" w:val="04A0"/>
            </w:tblPr>
            <w:tblGrid>
              <w:gridCol w:w="1814"/>
              <w:gridCol w:w="5725"/>
            </w:tblGrid>
            <w:tr>
              <w:tc>
                <w:tcPr>
                  <w:tcW w:type="dxa" w:w="1814"/>
                  <w:vAlign w:val="center"/>
                </w:tcPr>
                <w:p>
                  <w:pPr>
                    <w:spacing w:before="0" w:after="0" w:line="240" w:lineRule="auto"/>
                    <w:jc w:val="center"/>
                  </w:pPr>
                  <w:r>
                    <w:rPr>
                      <w:rFonts w:ascii="바탕체" w:hAnsi="바탕체" w:eastAsia="바탕체" w:cs="바탕체"/>
                      <w:b/>
                      <w:sz w:val="20"/>
                      <w:u w:val="none"/>
                    </w:rPr>
                    <w:t>24시간 공백 소멸</w:t>
                  </w:r>
                </w:p>
              </w:tc>
              <w:tc>
                <w:tcPr>
                  <w:tcW w:type="dxa" w:w="5726"/>
                </w:tcPr>
                <w:p>
                  <w:pPr>
                    <w:spacing w:before="0" w:after="0" w:line="240" w:lineRule="auto"/>
                  </w:pPr>
                  <w:r>
                    <w:rPr>
                      <w:rFonts w:ascii="바탕체" w:hAnsi="바탕체" w:eastAsia="바탕체" w:cs="바탕체"/>
                      <w:b w:val="0"/>
                      <w:sz w:val="20"/>
                      <w:u w:val="none"/>
                    </w:rPr>
                    <w:t>야간·주말에 생긴 이상도 무인 접수로 그 자리에서 조사된다</w:t>
                  </w:r>
                </w:p>
              </w:tc>
            </w:tr>
            <w:tr>
              <w:tc>
                <w:tcPr>
                  <w:tcW w:type="dxa" w:w="1814"/>
                  <w:vAlign w:val="center"/>
                </w:tcPr>
                <w:p>
                  <w:pPr>
                    <w:spacing w:before="0" w:after="0" w:line="240" w:lineRule="auto"/>
                    <w:jc w:val="center"/>
                  </w:pPr>
                  <w:r>
                    <w:rPr>
                      <w:rFonts w:ascii="바탕체" w:hAnsi="바탕체" w:eastAsia="바탕체" w:cs="바탕체"/>
                      <w:b/>
                      <w:sz w:val="20"/>
                      <w:u w:val="none"/>
                    </w:rPr>
                    <w:t>판단 편차 축소</w:t>
                  </w:r>
                </w:p>
              </w:tc>
              <w:tc>
                <w:tcPr>
                  <w:tcW w:type="dxa" w:w="5726"/>
                </w:tcPr>
                <w:p>
                  <w:pPr>
                    <w:spacing w:before="0" w:after="0" w:line="240" w:lineRule="auto"/>
                  </w:pPr>
                  <w:r>
                    <w:rPr>
                      <w:rFonts w:ascii="바탕체" w:hAnsi="바탕체" w:eastAsia="바탕체" w:cs="바탕체"/>
                      <w:b w:val="0"/>
                      <w:sz w:val="20"/>
                      <w:u w:val="none"/>
                    </w:rPr>
                    <w:t>같은 현상에 같은 조사 경로가 적용되어 담당자별 결론 차이가 줄어든다</w:t>
                  </w:r>
                </w:p>
              </w:tc>
            </w:tr>
            <w:tr>
              <w:tc>
                <w:tcPr>
                  <w:tcW w:type="dxa" w:w="1814"/>
                  <w:vAlign w:val="center"/>
                </w:tcPr>
                <w:p>
                  <w:pPr>
                    <w:spacing w:before="0" w:after="0" w:line="240" w:lineRule="auto"/>
                    <w:jc w:val="center"/>
                  </w:pPr>
                  <w:r>
                    <w:rPr>
                      <w:rFonts w:ascii="바탕체" w:hAnsi="바탕체" w:eastAsia="바탕체" w:cs="바탕체"/>
                      <w:b/>
                      <w:sz w:val="20"/>
                      <w:u w:val="none"/>
                    </w:rPr>
                    <w:t>감사 대응력</w:t>
                  </w:r>
                </w:p>
              </w:tc>
              <w:tc>
                <w:tcPr>
                  <w:tcW w:type="dxa" w:w="5726"/>
                </w:tcPr>
                <w:p>
                  <w:pPr>
                    <w:spacing w:before="0" w:after="0" w:line="240" w:lineRule="auto"/>
                  </w:pPr>
                  <w:r>
                    <w:rPr>
                      <w:rFonts w:ascii="바탕체" w:hAnsi="바탕체" w:eastAsia="바탕체" w:cs="바탕체"/>
                      <w:b w:val="0"/>
                      <w:sz w:val="20"/>
                      <w:u w:val="none"/>
                    </w:rPr>
                    <w:t>판정마다 근거 원문·신뢰도·모델 버전이 남아 사후에 재현할 수 있다</w:t>
                  </w:r>
                </w:p>
              </w:tc>
            </w:tr>
            <w:tr>
              <w:tc>
                <w:tcPr>
                  <w:tcW w:type="dxa" w:w="1814"/>
                  <w:vAlign w:val="center"/>
                </w:tcPr>
                <w:p>
                  <w:pPr>
                    <w:spacing w:before="0" w:after="0" w:line="240" w:lineRule="auto"/>
                    <w:jc w:val="center"/>
                  </w:pPr>
                  <w:r>
                    <w:rPr>
                      <w:rFonts w:ascii="바탕체" w:hAnsi="바탕체" w:eastAsia="바탕체" w:cs="바탕체"/>
                      <w:b/>
                      <w:sz w:val="20"/>
                      <w:u w:val="none"/>
                    </w:rPr>
                    <w:t>노하우 자산화</w:t>
                  </w:r>
                </w:p>
              </w:tc>
              <w:tc>
                <w:tcPr>
                  <w:tcW w:type="dxa" w:w="5726"/>
                </w:tcPr>
                <w:p>
                  <w:pPr>
                    <w:spacing w:before="0" w:after="0" w:line="240" w:lineRule="auto"/>
                  </w:pPr>
                  <w:r>
                    <w:rPr>
                      <w:rFonts w:ascii="바탕체" w:hAnsi="바탕체" w:eastAsia="바탕체" w:cs="바탕체"/>
                      <w:b w:val="0"/>
                      <w:sz w:val="20"/>
                      <w:u w:val="none"/>
                    </w:rPr>
                    <w:t>조사규칙과 확정 Inform Note 로 남아 담당자 교체에 흔들리지 않는다</w:t>
                  </w:r>
                </w:p>
              </w:tc>
            </w:tr>
            <w:tr>
              <w:tc>
                <w:tcPr>
                  <w:tcW w:type="dxa" w:w="1814"/>
                  <w:vAlign w:val="center"/>
                </w:tcPr>
                <w:p>
                  <w:pPr>
                    <w:spacing w:before="0" w:after="0" w:line="240" w:lineRule="auto"/>
                    <w:jc w:val="center"/>
                  </w:pPr>
                  <w:r>
                    <w:rPr>
                      <w:rFonts w:ascii="바탕체" w:hAnsi="바탕체" w:eastAsia="바탕체" w:cs="바탕체"/>
                      <w:b/>
                      <w:sz w:val="20"/>
                      <w:u w:val="none"/>
                    </w:rPr>
                    <w:t>학습 곡선 단축</w:t>
                  </w:r>
                </w:p>
              </w:tc>
              <w:tc>
                <w:tcPr>
                  <w:tcW w:type="dxa" w:w="5726"/>
                </w:tcPr>
                <w:p>
                  <w:pPr>
                    <w:spacing w:before="0" w:after="0" w:line="240" w:lineRule="auto"/>
                  </w:pPr>
                  <w:r>
                    <w:rPr>
                      <w:rFonts w:ascii="바탕체" w:hAnsi="바탕체" w:eastAsia="바탕체" w:cs="바탕체"/>
                      <w:b w:val="0"/>
                      <w:sz w:val="20"/>
                      <w:u w:val="none"/>
                    </w:rPr>
                    <w:t>신규 엔지니어가 선배의 판단 경로를 그대로 따라 볼 수 있다</w:t>
                  </w:r>
                </w:p>
              </w:tc>
            </w:tr>
            <w:tr>
              <w:tc>
                <w:tcPr>
                  <w:tcW w:type="dxa" w:w="1814"/>
                  <w:vAlign w:val="center"/>
                </w:tcPr>
                <w:p>
                  <w:pPr>
                    <w:spacing w:before="0" w:after="0" w:line="240" w:lineRule="auto"/>
                    <w:jc w:val="center"/>
                  </w:pPr>
                  <w:r>
                    <w:rPr>
                      <w:rFonts w:ascii="바탕체" w:hAnsi="바탕체" w:eastAsia="바탕체" w:cs="바탕체"/>
                      <w:b/>
                      <w:sz w:val="20"/>
                      <w:u w:val="none"/>
                    </w:rPr>
                    <w:t>확산 기반</w:t>
                  </w:r>
                </w:p>
              </w:tc>
              <w:tc>
                <w:tcPr>
                  <w:tcW w:type="dxa" w:w="5726"/>
                </w:tcPr>
                <w:p>
                  <w:pPr>
                    <w:spacing w:before="0" w:after="0" w:line="240" w:lineRule="auto"/>
                  </w:pPr>
                  <w:r>
                    <w:rPr>
                      <w:rFonts w:ascii="바탕체" w:hAnsi="바탕체" w:eastAsia="바탕체" w:cs="바탕체"/>
                      <w:b w:val="0"/>
                      <w:sz w:val="20"/>
                      <w:u w:val="none"/>
                    </w:rPr>
                    <w:t>확산 표준안으로 타 조직이 코어 개발 없이 자기 공정에 적용한다</w:t>
                  </w:r>
                </w:p>
              </w:tc>
            </w:tr>
          </w:tbl>
          <w:p/>
          <w:p>
            <w:pPr>
              <w:spacing w:before="120" w:after="40" w:line="240" w:lineRule="auto"/>
            </w:pPr>
            <w:r>
              <w:rPr>
                <w:rFonts w:ascii="바탕체" w:hAnsi="바탕체" w:eastAsia="바탕체" w:cs="바탕체"/>
                <w:b/>
                <w:sz w:val="20"/>
                <w:u w:val="none"/>
              </w:rPr>
              <w:t>선행 추진 실적 — 백지에서 시작하지 않는다</w:t>
            </w:r>
          </w:p>
          <w:tbl>
            <w:tblPr>
              <w:tblStyle w:val="TableGrid"/>
              <w:tblW w:type="dxa" w:w="7540"/>
              <w:tblLayout w:type="fixed"/>
              <w:tblLook w:firstColumn="1" w:firstRow="1" w:lastColumn="0" w:lastRow="0" w:noHBand="0" w:noVBand="1" w:val="04A0"/>
            </w:tblPr>
            <w:tblGrid>
              <w:gridCol w:w="1247"/>
              <w:gridCol w:w="6292"/>
            </w:tblGrid>
            <w:tr>
              <w:tc>
                <w:tcPr>
                  <w:tcW w:type="dxa" w:w="1247"/>
                  <w:vAlign w:val="center"/>
                </w:tcPr>
                <w:p>
                  <w:pPr>
                    <w:spacing w:before="0" w:after="0" w:line="240" w:lineRule="auto"/>
                    <w:jc w:val="center"/>
                  </w:pPr>
                  <w:r>
                    <w:rPr>
                      <w:rFonts w:ascii="바탕체" w:hAnsi="바탕체" w:eastAsia="바탕체" w:cs="바탕체"/>
                      <w:b/>
                      <w:sz w:val="20"/>
                      <w:u w:val="none"/>
                    </w:rPr>
                    <w:t>설계</w:t>
                  </w:r>
                </w:p>
              </w:tc>
              <w:tc>
                <w:tcPr>
                  <w:tcW w:type="dxa" w:w="6293"/>
                </w:tcPr>
                <w:p>
                  <w:pPr>
                    <w:spacing w:before="0" w:after="0" w:line="240" w:lineRule="auto"/>
                  </w:pPr>
                  <w:r>
                    <w:rPr>
                      <w:rFonts w:ascii="바탕체" w:hAnsi="바탕체" w:eastAsia="바탕체" w:cs="바탕체"/>
                      <w:b w:val="0"/>
                      <w:sz w:val="20"/>
                      <w:u w:val="none"/>
                    </w:rPr>
                    <w:t>시스템설계서·구축 로드맵·Tool 카탈로그·그라운딩 설계·조사규칙 5종·구현명세서 등 31종</w:t>
                  </w:r>
                </w:p>
              </w:tc>
            </w:tr>
            <w:tr>
              <w:tc>
                <w:tcPr>
                  <w:tcW w:type="dxa" w:w="1247"/>
                  <w:vAlign w:val="center"/>
                </w:tcPr>
                <w:p>
                  <w:pPr>
                    <w:spacing w:before="0" w:after="0" w:line="240" w:lineRule="auto"/>
                    <w:jc w:val="center"/>
                  </w:pPr>
                  <w:r>
                    <w:rPr>
                      <w:rFonts w:ascii="바탕체" w:hAnsi="바탕체" w:eastAsia="바탕체" w:cs="바탕체"/>
                      <w:b/>
                      <w:sz w:val="20"/>
                      <w:u w:val="none"/>
                    </w:rPr>
                    <w:t>구현</w:t>
                  </w:r>
                </w:p>
              </w:tc>
              <w:tc>
                <w:tcPr>
                  <w:tcW w:type="dxa" w:w="6293"/>
                </w:tcPr>
                <w:p>
                  <w:pPr>
                    <w:spacing w:before="0" w:after="0" w:line="240" w:lineRule="auto"/>
                  </w:pPr>
                  <w:r>
                    <w:rPr>
                      <w:rFonts w:ascii="바탕체" w:hAnsi="바탕체" w:eastAsia="바탕체" w:cs="바탕체"/>
                      <w:b w:val="0"/>
                      <w:sz w:val="20"/>
                      <w:u w:val="none"/>
                    </w:rPr>
                    <w:t>LangGraph 조사 코어 스켈레톤 실행 확인, 검증기 5칙 구현, prod 백엔드 4종</w:t>
                  </w:r>
                </w:p>
              </w:tc>
            </w:tr>
            <w:tr>
              <w:tc>
                <w:tcPr>
                  <w:tcW w:type="dxa" w:w="1247"/>
                  <w:vAlign w:val="center"/>
                </w:tcPr>
                <w:p>
                  <w:pPr>
                    <w:spacing w:before="0" w:after="0" w:line="240" w:lineRule="auto"/>
                    <w:jc w:val="center"/>
                  </w:pPr>
                  <w:r>
                    <w:rPr>
                      <w:rFonts w:ascii="바탕체" w:hAnsi="바탕체" w:eastAsia="바탕체" w:cs="바탕체"/>
                      <w:b/>
                      <w:sz w:val="20"/>
                      <w:u w:val="none"/>
                    </w:rPr>
                    <w:t>평가</w:t>
                  </w:r>
                </w:p>
              </w:tc>
              <w:tc>
                <w:tcPr>
                  <w:tcW w:type="dxa" w:w="6293"/>
                </w:tcPr>
                <w:p>
                  <w:pPr>
                    <w:spacing w:before="0" w:after="0" w:line="240" w:lineRule="auto"/>
                  </w:pPr>
                  <w:r>
                    <w:rPr>
                      <w:rFonts w:ascii="바탕체" w:hAnsi="바탕체" w:eastAsia="바탕체" w:cs="바탕체"/>
                      <w:b w:val="0"/>
                      <w:sz w:val="20"/>
                      <w:u w:val="none"/>
                    </w:rPr>
                    <w:t>골든 시나리오 4건과 회귀 러너 구축, 회귀 검출 동작 확인. 검색 recall@10 = 0.500 실측</w:t>
                  </w:r>
                </w:p>
              </w:tc>
            </w:tr>
            <w:tr>
              <w:tc>
                <w:tcPr>
                  <w:tcW w:type="dxa" w:w="1247"/>
                  <w:vAlign w:val="center"/>
                </w:tcPr>
                <w:p>
                  <w:pPr>
                    <w:spacing w:before="0" w:after="0" w:line="240" w:lineRule="auto"/>
                    <w:jc w:val="center"/>
                  </w:pPr>
                  <w:r>
                    <w:rPr>
                      <w:rFonts w:ascii="바탕체" w:hAnsi="바탕체" w:eastAsia="바탕체" w:cs="바탕체"/>
                      <w:b/>
                      <w:sz w:val="20"/>
                      <w:u w:val="none"/>
                    </w:rPr>
                    <w:t>검색 기반</w:t>
                  </w:r>
                </w:p>
              </w:tc>
              <w:tc>
                <w:tcPr>
                  <w:tcW w:type="dxa" w:w="6293"/>
                </w:tcPr>
                <w:p>
                  <w:pPr>
                    <w:spacing w:before="0" w:after="0" w:line="240" w:lineRule="auto"/>
                  </w:pPr>
                  <w:r>
                    <w:rPr>
                      <w:rFonts w:ascii="바탕체" w:hAnsi="바탕체" w:eastAsia="바탕체" w:cs="바탕체"/>
                      <w:b w:val="0"/>
                      <w:sz w:val="20"/>
                      <w:u w:val="none"/>
                    </w:rPr>
                    <w:t>스키마·조회 가드·평가 파이프라인 구축과 동작 확인, 벡터 색인 방식 확정</w:t>
                  </w:r>
                </w:p>
              </w:tc>
            </w:tr>
          </w:tbl>
          <w:p/>
          <w:p>
            <w:pPr>
              <w:spacing w:before="40" w:after="0" w:line="240" w:lineRule="auto"/>
              <w:ind w:left="227"/>
            </w:pPr>
            <w:r>
              <w:rPr>
                <w:rFonts w:ascii="바탕체" w:hAnsi="바탕체" w:eastAsia="바탕체" w:cs="바탕체"/>
                <w:b w:val="0"/>
                <w:sz w:val="20"/>
                <w:u w:val="none"/>
              </w:rPr>
              <w:t>설계와 스켈레톤, 평가 체계까지는 이미 서 있다. 이 과제는 그 위에 실데이터와 실도구를 연결해 두 공정 더 확산하는 단계다. 될지 안 될지 모르는 구간은 지나 있다.</w:t>
            </w:r>
          </w:p>
          <w:p>
            <w:pPr>
              <w:spacing w:before="120" w:after="40" w:line="240" w:lineRule="auto"/>
            </w:pPr>
            <w:r>
              <w:rPr>
                <w:rFonts w:ascii="바탕체" w:hAnsi="바탕체" w:eastAsia="바탕체" w:cs="바탕체"/>
                <w:b/>
                <w:sz w:val="20"/>
                <w:u w:val="none"/>
              </w:rPr>
              <w:t>검증 방법</w:t>
            </w:r>
          </w:p>
          <w:p>
            <w:pPr>
              <w:spacing w:before="0" w:after="40" w:line="240" w:lineRule="auto"/>
              <w:ind w:left="425" w:hanging="198"/>
            </w:pPr>
            <w:r>
              <w:rPr>
                <w:rFonts w:ascii="바탕체" w:hAnsi="바탕체" w:eastAsia="바탕체" w:cs="바탕체"/>
                <w:b w:val="0"/>
                <w:sz w:val="20"/>
                <w:u w:val="none"/>
              </w:rPr>
              <w:t>- 1차년 그림자 운영에서 AI 판단과 엔지니어 판단의 일치율 기준선을 실측한다. 이 구간에는 조치를 실행하지 않는다.</w:t>
            </w:r>
          </w:p>
          <w:p>
            <w:pPr>
              <w:spacing w:before="0" w:after="40" w:line="240" w:lineRule="auto"/>
              <w:ind w:left="425" w:hanging="198"/>
            </w:pPr>
            <w:r>
              <w:rPr>
                <w:rFonts w:ascii="바탕체" w:hAnsi="바탕체" w:eastAsia="바탕체" w:cs="바탕체"/>
                <w:b w:val="0"/>
                <w:sz w:val="20"/>
                <w:u w:val="none"/>
              </w:rPr>
              <w:t>- 가동 후 건당 처리 시간·골든 시나리오 정답률·이벤트 처리 누락·조치 승인율을 로그로 실측해 분기마다 보고하고, 산정치와 차이가 나면 그때 조정한다.</w:t>
            </w:r>
          </w:p>
          <w:p>
            <w:pPr>
              <w:spacing w:before="0" w:after="40" w:line="240" w:lineRule="auto"/>
              <w:ind w:left="425" w:hanging="198"/>
            </w:pPr>
            <w:r>
              <w:rPr>
                <w:rFonts w:ascii="바탕체" w:hAnsi="바탕체" w:eastAsia="바탕체" w:cs="바탕체"/>
                <w:b w:val="0"/>
                <w:sz w:val="20"/>
                <w:u w:val="none"/>
              </w:rPr>
              <w:t>- 자동조치를 연 뒤에는 실행 로그를 전건 감사하고 오판율을 측정해 공개한다.</w:t>
            </w:r>
          </w:p>
        </w:tc>
      </w:tr>
    </w:tbl>
    <w:sectPr w:rsidR="00FC693F" w:rsidRPr="0006063C" w:rsidSect="00034616">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eastAsia="바탕체" w:cs="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