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alchemy.ai — Token Deduction Guide</w:t>
      </w:r>
    </w:p>
    <w:p>
      <w:r>
        <w:rPr>
          <w:i/>
          <w:color w:val="556575"/>
          <w:sz w:val="22"/>
        </w:rPr>
        <w:t>Pricing &amp; billing reference  ·  Anchor: 1,000 tokens ≈ USD $3.30 COGS</w:t>
      </w:r>
    </w:p>
    <w:p/>
    <w:p>
      <w:pPr>
        <w:pStyle w:val="Heading1"/>
      </w:pPr>
      <w:r>
        <w:t>1. Flat costs (per successful action)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B1120" w:val="clear"/>
          </w:tcPr>
          <w:p>
            <w:r>
              <w:rPr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4320"/>
            <w:shd w:fill="0B1120" w:val="clear"/>
          </w:tcPr>
          <w:p>
            <w:r>
              <w:rPr>
                <w:b/>
                <w:color w:val="FFFFFF"/>
                <w:sz w:val="22"/>
              </w:rPr>
              <w:t>Tokens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Single image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25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A/B images (2)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Campaign (3 slides + plan)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90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Teaching carousel (4 slides + plan)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120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Storyboard scene (each)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20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Storyboard batch (~4 scenes)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80 (20 × scenes)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Music / BGM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30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Voiceover / script preview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LLM plan / brief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Image refine / inpaint / logo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25 (same as single image)</w:t>
            </w:r>
          </w:p>
        </w:tc>
      </w:tr>
    </w:tbl>
    <w:p/>
    <w:p>
      <w:pPr>
        <w:pStyle w:val="Heading1"/>
      </w:pPr>
      <w:r>
        <w:t>2. Video costs</w:t>
      </w:r>
    </w:p>
    <w:p>
      <w:r>
        <w:rPr>
          <w:b/>
        </w:rPr>
        <w:t xml:space="preserve">Formula: </w:t>
      </w:r>
      <w:r>
        <w:t>tokens = rate × seconds (duration clamped to 4–15s; auto = 8s)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1120" w:val="clear"/>
          </w:tcPr>
          <w:p>
            <w:r>
              <w:rPr>
                <w:b/>
                <w:color w:val="FFFFFF"/>
                <w:sz w:val="22"/>
              </w:rPr>
              <w:t>Resolution</w:t>
            </w:r>
          </w:p>
        </w:tc>
        <w:tc>
          <w:tcPr>
            <w:tcW w:type="dxa" w:w="2880"/>
            <w:shd w:fill="0B1120" w:val="clear"/>
          </w:tcPr>
          <w:p>
            <w:r>
              <w:rPr>
                <w:b/>
                <w:color w:val="FFFFFF"/>
                <w:sz w:val="22"/>
              </w:rPr>
              <w:t>Tokens / sec</w:t>
            </w:r>
          </w:p>
        </w:tc>
        <w:tc>
          <w:tcPr>
            <w:tcW w:type="dxa" w:w="2880"/>
            <w:shd w:fill="0B1120" w:val="clear"/>
          </w:tcPr>
          <w:p>
            <w:r>
              <w:rPr>
                <w:b/>
                <w:color w:val="FFFFFF"/>
                <w:sz w:val="22"/>
              </w:rPr>
              <w:t>8s example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480p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520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2"/>
              </w:rPr>
              <w:t>720p Fast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2"/>
              </w:rPr>
              <w:t>75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2"/>
              </w:rPr>
              <w:t>600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720p Standard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760</w:t>
            </w:r>
          </w:p>
        </w:tc>
      </w:tr>
      <w:tr>
        <w:tc>
          <w:tcPr>
            <w:tcW w:type="dxa" w:w="2880"/>
            <w:shd w:fill="F1F5F9" w:val="clear"/>
          </w:tcPr>
          <w:p>
            <w:r>
              <w:rPr>
                <w:sz w:val="22"/>
              </w:rPr>
              <w:t>1080p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2"/>
              </w:rPr>
              <w:t>210</w:t>
            </w:r>
          </w:p>
        </w:tc>
        <w:tc>
          <w:tcPr>
            <w:tcW w:type="dxa" w:w="2880"/>
            <w:shd w:fill="F1F5F9" w:val="clear"/>
          </w:tcPr>
          <w:p>
            <w:r>
              <w:rPr>
                <w:sz w:val="22"/>
              </w:rPr>
              <w:t>1,680</w:t>
            </w:r>
          </w:p>
        </w:tc>
      </w:tr>
    </w:tbl>
    <w:p/>
    <w:p>
      <w:r>
        <w:rPr>
          <w:b/>
        </w:rPr>
        <w:t xml:space="preserve">Digital presenter: </w:t>
      </w:r>
      <w:r>
        <w:t>video cost (8s at chosen resolution) + 5 tokens if voice is synthesized.</w:t>
      </w:r>
    </w:p>
    <w:p>
      <w:pPr>
        <w:pStyle w:val="Heading1"/>
      </w:pPr>
      <w:r>
        <w:t>3. Grants (not deductions)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B1120" w:val="clear"/>
          </w:tcPr>
          <w:p>
            <w:r>
              <w:rPr>
                <w:b/>
                <w:color w:val="FFFFFF"/>
                <w:sz w:val="22"/>
              </w:rPr>
              <w:t>Source</w:t>
            </w:r>
          </w:p>
        </w:tc>
        <w:tc>
          <w:tcPr>
            <w:tcW w:type="dxa" w:w="4320"/>
            <w:shd w:fill="0B1120" w:val="clear"/>
          </w:tcPr>
          <w:p>
            <w:r>
              <w:rPr>
                <w:b/>
                <w:color w:val="FFFFFF"/>
                <w:sz w:val="22"/>
              </w:rPr>
              <w:t>Tokens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Free signup (once)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1,000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Standard / month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3,000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Pro / month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8,000</w:t>
            </w:r>
          </w:p>
        </w:tc>
      </w:tr>
      <w:tr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Master / month</w:t>
            </w:r>
          </w:p>
        </w:tc>
        <w:tc>
          <w:tcPr>
            <w:tcW w:type="dxa" w:w="4320"/>
            <w:shd w:fill="F1F5F9" w:val="clear"/>
          </w:tcPr>
          <w:p>
            <w:r>
              <w:rPr>
                <w:sz w:val="22"/>
              </w:rPr>
              <w:t>16,000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Top-up pack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1,000 ($10)</w:t>
            </w:r>
          </w:p>
        </w:tc>
      </w:tr>
    </w:tbl>
    <w:p/>
    <w:p>
      <w:pPr>
        <w:pStyle w:val="Heading1"/>
      </w:pPr>
      <w:r>
        <w:t>4. Typical free-pack path</w:t>
      </w:r>
    </w:p>
    <w:p>
      <w:r>
        <w:t>1× image (25) + 1× 8s 480p video (520) = 545 tokens used, with ~455 left from the 1,000 free grant.</w:t>
      </w:r>
    </w:p>
    <w:p>
      <w:pPr>
        <w:pStyle w:val="Heading1"/>
      </w:pPr>
      <w:r>
        <w:t>5. Notes</w:t>
      </w:r>
    </w:p>
    <w:p>
      <w:pPr>
        <w:pStyle w:val="ListBullet"/>
      </w:pPr>
      <w:r>
        <w:t>Failed generations that use charge-before-fal (image, video, music, cinematic scenes) are refunded.</w:t>
      </w:r>
    </w:p>
    <w:p>
      <w:pPr>
        <w:pStyle w:val="ListBullet"/>
      </w:pPr>
      <w:r>
        <w:t>Some other routes still settle tokens only after success.</w:t>
      </w:r>
    </w:p>
    <w:p>
      <w:pPr>
        <w:pStyle w:val="ListBullet"/>
      </w:pPr>
      <w:r>
        <w:t>Source of truth in code: lib/billing/token-costs.ts and lib/billing/plans.ts.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