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5C5A9" w14:textId="77777777" w:rsidR="004F7627" w:rsidRPr="004F7627" w:rsidRDefault="004F7627" w:rsidP="004F7627"/>
    <w:p w14:paraId="468E8296" w14:textId="77777777" w:rsidR="004F7627" w:rsidRPr="004F7627" w:rsidRDefault="004F7627" w:rsidP="00295E2F"/>
    <w:tbl>
      <w:tblPr>
        <w:tblW w:w="8963" w:type="dxa"/>
        <w:tblInd w:w="-6" w:type="dxa"/>
        <w:tblBorders>
          <w:bottom w:val="single" w:sz="4" w:space="0" w:color="000000"/>
        </w:tblBorders>
        <w:tblLayout w:type="fixed"/>
        <w:tblLook w:val="0000" w:firstRow="0" w:lastRow="0" w:firstColumn="0" w:lastColumn="0" w:noHBand="0" w:noVBand="0"/>
      </w:tblPr>
      <w:tblGrid>
        <w:gridCol w:w="8963"/>
      </w:tblGrid>
      <w:tr w:rsidR="004F7627" w:rsidRPr="004F7627" w14:paraId="5D80958E" w14:textId="77777777" w:rsidTr="0029142A">
        <w:trPr>
          <w:trHeight w:val="1560"/>
        </w:trPr>
        <w:tc>
          <w:tcPr>
            <w:tcW w:w="8963" w:type="dxa"/>
            <w:tcBorders>
              <w:top w:val="single" w:sz="8" w:space="0" w:color="000000"/>
              <w:bottom w:val="single" w:sz="8" w:space="0" w:color="000000"/>
            </w:tcBorders>
            <w:vAlign w:val="center"/>
          </w:tcPr>
          <w:p w14:paraId="64349A05" w14:textId="77777777" w:rsidR="004F7627" w:rsidRPr="004F7627" w:rsidRDefault="004F7627" w:rsidP="0029142A">
            <w:pPr>
              <w:pStyle w:val="Normal1"/>
              <w:widowControl w:val="0"/>
              <w:spacing w:line="276" w:lineRule="auto"/>
              <w:ind w:left="567" w:right="567"/>
              <w:jc w:val="center"/>
              <w:rPr>
                <w:b/>
                <w:sz w:val="22"/>
                <w:szCs w:val="22"/>
              </w:rPr>
            </w:pPr>
            <w:bookmarkStart w:id="0" w:name="_gjdgxs" w:colFirst="0" w:colLast="0"/>
            <w:bookmarkEnd w:id="0"/>
            <w:r w:rsidRPr="004F7627">
              <w:rPr>
                <w:b/>
                <w:sz w:val="22"/>
                <w:szCs w:val="22"/>
              </w:rPr>
              <w:t>CONTRACT</w:t>
            </w:r>
          </w:p>
          <w:p w14:paraId="51059060" w14:textId="1E40B504" w:rsidR="004F7627" w:rsidRPr="004F7627" w:rsidRDefault="004F7627" w:rsidP="00FA330A">
            <w:pPr>
              <w:pStyle w:val="Normal1"/>
              <w:widowControl w:val="0"/>
              <w:spacing w:line="276" w:lineRule="auto"/>
              <w:jc w:val="center"/>
              <w:rPr>
                <w:b/>
                <w:sz w:val="22"/>
                <w:szCs w:val="22"/>
              </w:rPr>
            </w:pPr>
            <w:r w:rsidRPr="004F7627">
              <w:rPr>
                <w:b/>
                <w:sz w:val="22"/>
                <w:szCs w:val="22"/>
              </w:rPr>
              <w:t xml:space="preserve">No. </w:t>
            </w:r>
            <w:r w:rsidRPr="004F7627">
              <w:rPr>
                <w:b/>
                <w:sz w:val="22"/>
                <w:szCs w:val="22"/>
                <w:highlight w:val="yellow"/>
              </w:rPr>
              <w:t>0</w:t>
            </w:r>
            <w:r w:rsidR="000F2086">
              <w:rPr>
                <w:b/>
                <w:sz w:val="22"/>
                <w:szCs w:val="22"/>
              </w:rPr>
              <w:t>8</w:t>
            </w:r>
            <w:r w:rsidRPr="004F7627">
              <w:rPr>
                <w:b/>
                <w:sz w:val="22"/>
                <w:szCs w:val="22"/>
              </w:rPr>
              <w:t>/2020/VTP-</w:t>
            </w:r>
            <w:r w:rsidRPr="004F7627">
              <w:rPr>
                <w:b/>
                <w:caps/>
                <w:sz w:val="22"/>
                <w:szCs w:val="22"/>
              </w:rPr>
              <w:t xml:space="preserve"> </w:t>
            </w:r>
            <w:r w:rsidR="00FA330A" w:rsidRPr="00760707">
              <w:rPr>
                <w:b/>
                <w:caps/>
                <w:sz w:val="22"/>
                <w:szCs w:val="22"/>
                <w:highlight w:val="yellow"/>
              </w:rPr>
              <w:t>ARABICA</w:t>
            </w:r>
            <w:r w:rsidRPr="004F7627">
              <w:rPr>
                <w:b/>
                <w:sz w:val="22"/>
                <w:szCs w:val="22"/>
              </w:rPr>
              <w:t>/</w:t>
            </w:r>
            <w:r w:rsidRPr="004F7627">
              <w:rPr>
                <w:sz w:val="22"/>
                <w:szCs w:val="22"/>
              </w:rPr>
              <w:t xml:space="preserve"> </w:t>
            </w:r>
            <w:r w:rsidRPr="004F7627">
              <w:rPr>
                <w:b/>
                <w:sz w:val="22"/>
                <w:szCs w:val="22"/>
              </w:rPr>
              <w:t xml:space="preserve">SOFTWARE PACKAGE FOR </w:t>
            </w:r>
            <w:r w:rsidR="00F71141">
              <w:rPr>
                <w:b/>
                <w:sz w:val="22"/>
                <w:szCs w:val="22"/>
              </w:rPr>
              <w:t>CALLBASE SYSTEM</w:t>
            </w:r>
          </w:p>
        </w:tc>
      </w:tr>
    </w:tbl>
    <w:p w14:paraId="28F64AE5" w14:textId="77777777" w:rsidR="004F7627" w:rsidRDefault="004F7627" w:rsidP="004F7627">
      <w:pPr>
        <w:pStyle w:val="Normal1"/>
        <w:widowControl w:val="0"/>
        <w:spacing w:line="276" w:lineRule="auto"/>
        <w:jc w:val="center"/>
        <w:rPr>
          <w:sz w:val="22"/>
          <w:szCs w:val="22"/>
        </w:rPr>
      </w:pPr>
    </w:p>
    <w:p w14:paraId="179E43B6" w14:textId="77777777" w:rsidR="004F7627" w:rsidRDefault="004F7627" w:rsidP="004F7627">
      <w:pPr>
        <w:pStyle w:val="Normal1"/>
        <w:widowControl w:val="0"/>
        <w:spacing w:line="276" w:lineRule="auto"/>
        <w:jc w:val="center"/>
        <w:rPr>
          <w:sz w:val="22"/>
          <w:szCs w:val="22"/>
        </w:rPr>
      </w:pPr>
    </w:p>
    <w:p w14:paraId="2D986354" w14:textId="77777777" w:rsidR="004F7627" w:rsidRDefault="004F7627" w:rsidP="004F7627">
      <w:pPr>
        <w:pStyle w:val="Normal1"/>
        <w:widowControl w:val="0"/>
        <w:spacing w:line="276" w:lineRule="auto"/>
        <w:jc w:val="center"/>
        <w:rPr>
          <w:sz w:val="22"/>
          <w:szCs w:val="22"/>
        </w:rPr>
      </w:pPr>
    </w:p>
    <w:p w14:paraId="01BB886A" w14:textId="77777777" w:rsidR="004F7627" w:rsidRPr="004F7627" w:rsidRDefault="004F7627" w:rsidP="004F7627">
      <w:pPr>
        <w:pStyle w:val="Normal1"/>
        <w:widowControl w:val="0"/>
        <w:spacing w:line="276" w:lineRule="auto"/>
        <w:jc w:val="center"/>
        <w:rPr>
          <w:sz w:val="22"/>
          <w:szCs w:val="22"/>
        </w:rPr>
      </w:pPr>
    </w:p>
    <w:tbl>
      <w:tblPr>
        <w:tblW w:w="8963" w:type="dxa"/>
        <w:tblInd w:w="-6" w:type="dxa"/>
        <w:tblLayout w:type="fixed"/>
        <w:tblLook w:val="0000" w:firstRow="0" w:lastRow="0" w:firstColumn="0" w:lastColumn="0" w:noHBand="0" w:noVBand="0"/>
      </w:tblPr>
      <w:tblGrid>
        <w:gridCol w:w="8963"/>
      </w:tblGrid>
      <w:tr w:rsidR="004F7627" w:rsidRPr="004F7627" w14:paraId="4F397562" w14:textId="77777777" w:rsidTr="0029142A">
        <w:trPr>
          <w:trHeight w:val="500"/>
        </w:trPr>
        <w:tc>
          <w:tcPr>
            <w:tcW w:w="8963" w:type="dxa"/>
          </w:tcPr>
          <w:p w14:paraId="0BA3F2A9" w14:textId="77777777" w:rsidR="004F7627" w:rsidRPr="004F7627" w:rsidRDefault="004F7627" w:rsidP="0029142A">
            <w:pPr>
              <w:pStyle w:val="Normal1"/>
              <w:widowControl w:val="0"/>
              <w:spacing w:line="276" w:lineRule="auto"/>
              <w:jc w:val="center"/>
              <w:rPr>
                <w:sz w:val="22"/>
                <w:szCs w:val="22"/>
              </w:rPr>
            </w:pPr>
          </w:p>
          <w:p w14:paraId="2BA0EB1A" w14:textId="77777777" w:rsidR="004F7627" w:rsidRPr="004F7627" w:rsidRDefault="004F7627" w:rsidP="0029142A">
            <w:pPr>
              <w:pStyle w:val="Normal1"/>
              <w:widowControl w:val="0"/>
              <w:spacing w:line="276" w:lineRule="auto"/>
              <w:jc w:val="center"/>
              <w:rPr>
                <w:sz w:val="22"/>
                <w:szCs w:val="22"/>
              </w:rPr>
            </w:pPr>
          </w:p>
          <w:p w14:paraId="576816A4" w14:textId="10643569" w:rsidR="004F7627" w:rsidRPr="004F7627" w:rsidRDefault="004F7627" w:rsidP="00F71141">
            <w:pPr>
              <w:pStyle w:val="Normal1"/>
              <w:widowControl w:val="0"/>
              <w:spacing w:line="276" w:lineRule="auto"/>
              <w:jc w:val="center"/>
              <w:rPr>
                <w:sz w:val="22"/>
                <w:szCs w:val="22"/>
              </w:rPr>
            </w:pPr>
            <w:r w:rsidRPr="004F7627">
              <w:rPr>
                <w:b/>
                <w:smallCaps/>
                <w:sz w:val="22"/>
                <w:szCs w:val="22"/>
              </w:rPr>
              <w:t xml:space="preserve">DATED             </w:t>
            </w:r>
            <w:r w:rsidR="00BC6789">
              <w:rPr>
                <w:b/>
                <w:smallCaps/>
                <w:sz w:val="22"/>
                <w:szCs w:val="22"/>
              </w:rPr>
              <w:t>28</w:t>
            </w:r>
            <w:r w:rsidR="00F71141">
              <w:rPr>
                <w:b/>
                <w:smallCaps/>
                <w:sz w:val="22"/>
                <w:szCs w:val="22"/>
              </w:rPr>
              <w:t>/08</w:t>
            </w:r>
            <w:r w:rsidRPr="004F7627">
              <w:rPr>
                <w:b/>
                <w:smallCaps/>
                <w:sz w:val="22"/>
                <w:szCs w:val="22"/>
              </w:rPr>
              <w:t>/2020</w:t>
            </w:r>
          </w:p>
        </w:tc>
      </w:tr>
    </w:tbl>
    <w:p w14:paraId="6A590857" w14:textId="77777777" w:rsidR="004F7627" w:rsidRPr="004F7627" w:rsidRDefault="004F7627" w:rsidP="004F7627">
      <w:pPr>
        <w:pStyle w:val="Normal1"/>
        <w:widowControl w:val="0"/>
        <w:spacing w:line="276" w:lineRule="auto"/>
        <w:jc w:val="center"/>
        <w:rPr>
          <w:sz w:val="22"/>
          <w:szCs w:val="22"/>
        </w:rPr>
      </w:pPr>
    </w:p>
    <w:p w14:paraId="74A1E657" w14:textId="77777777" w:rsidR="004F7627" w:rsidRDefault="004F7627" w:rsidP="004F7627">
      <w:pPr>
        <w:pStyle w:val="Normal1"/>
        <w:widowControl w:val="0"/>
        <w:rPr>
          <w:sz w:val="22"/>
          <w:szCs w:val="22"/>
        </w:rPr>
      </w:pPr>
    </w:p>
    <w:p w14:paraId="4A27488F" w14:textId="77777777" w:rsidR="004F7627" w:rsidRDefault="004F7627" w:rsidP="004F7627">
      <w:pPr>
        <w:pStyle w:val="Normal1"/>
        <w:widowControl w:val="0"/>
        <w:rPr>
          <w:sz w:val="22"/>
          <w:szCs w:val="22"/>
        </w:rPr>
      </w:pPr>
    </w:p>
    <w:p w14:paraId="601774E2" w14:textId="77777777" w:rsidR="004F7627" w:rsidRPr="004F7627" w:rsidRDefault="004F7627" w:rsidP="004F7627">
      <w:pPr>
        <w:pStyle w:val="Normal1"/>
        <w:widowControl w:val="0"/>
        <w:rPr>
          <w:sz w:val="22"/>
          <w:szCs w:val="22"/>
        </w:rPr>
      </w:pPr>
    </w:p>
    <w:p w14:paraId="020E97A9" w14:textId="77777777" w:rsidR="004F7627" w:rsidRPr="004F7627" w:rsidRDefault="004F7627" w:rsidP="004F7627">
      <w:pPr>
        <w:pStyle w:val="Normal1"/>
        <w:widowControl w:val="0"/>
        <w:spacing w:line="276" w:lineRule="auto"/>
        <w:jc w:val="center"/>
        <w:rPr>
          <w:sz w:val="22"/>
          <w:szCs w:val="22"/>
        </w:rPr>
      </w:pPr>
      <w:r w:rsidRPr="004F7627">
        <w:rPr>
          <w:b/>
          <w:sz w:val="22"/>
          <w:szCs w:val="22"/>
        </w:rPr>
        <w:t>Between</w:t>
      </w:r>
    </w:p>
    <w:tbl>
      <w:tblPr>
        <w:tblW w:w="8963" w:type="dxa"/>
        <w:tblInd w:w="-6" w:type="dxa"/>
        <w:tblLayout w:type="fixed"/>
        <w:tblLook w:val="0000" w:firstRow="0" w:lastRow="0" w:firstColumn="0" w:lastColumn="0" w:noHBand="0" w:noVBand="0"/>
      </w:tblPr>
      <w:tblGrid>
        <w:gridCol w:w="8963"/>
      </w:tblGrid>
      <w:tr w:rsidR="004F7627" w:rsidRPr="004F7627" w14:paraId="5F5C8650" w14:textId="77777777" w:rsidTr="0029142A">
        <w:trPr>
          <w:trHeight w:val="460"/>
        </w:trPr>
        <w:tc>
          <w:tcPr>
            <w:tcW w:w="8963" w:type="dxa"/>
            <w:vAlign w:val="center"/>
          </w:tcPr>
          <w:p w14:paraId="04DCF235" w14:textId="77777777" w:rsidR="004F7627" w:rsidRPr="004F7627" w:rsidRDefault="004F7627" w:rsidP="0029142A">
            <w:pPr>
              <w:pStyle w:val="Normal1"/>
              <w:widowControl w:val="0"/>
              <w:spacing w:line="276" w:lineRule="auto"/>
              <w:jc w:val="center"/>
              <w:rPr>
                <w:sz w:val="22"/>
                <w:szCs w:val="22"/>
              </w:rPr>
            </w:pPr>
            <w:bookmarkStart w:id="1" w:name="30j0zll" w:colFirst="0" w:colLast="0"/>
            <w:bookmarkEnd w:id="1"/>
          </w:p>
          <w:p w14:paraId="2B449D7F" w14:textId="77777777" w:rsidR="004F7627" w:rsidRPr="004F7627" w:rsidRDefault="004F7627" w:rsidP="0029142A">
            <w:pPr>
              <w:pStyle w:val="Normal1"/>
              <w:widowControl w:val="0"/>
              <w:rPr>
                <w:sz w:val="22"/>
                <w:szCs w:val="22"/>
              </w:rPr>
            </w:pPr>
          </w:p>
          <w:p w14:paraId="025ACB20" w14:textId="77777777" w:rsidR="004F7627" w:rsidRPr="004F7627" w:rsidRDefault="004F7627" w:rsidP="0029142A">
            <w:pPr>
              <w:pStyle w:val="Normal1"/>
              <w:widowControl w:val="0"/>
              <w:spacing w:line="276" w:lineRule="auto"/>
              <w:rPr>
                <w:sz w:val="22"/>
                <w:szCs w:val="22"/>
              </w:rPr>
            </w:pPr>
          </w:p>
          <w:p w14:paraId="702F457B" w14:textId="77777777" w:rsidR="004F7627" w:rsidRPr="004F7627" w:rsidRDefault="004F7627" w:rsidP="0029142A">
            <w:pPr>
              <w:pStyle w:val="Normal1"/>
              <w:widowControl w:val="0"/>
              <w:rPr>
                <w:sz w:val="22"/>
                <w:szCs w:val="22"/>
              </w:rPr>
            </w:pPr>
          </w:p>
          <w:p w14:paraId="60896061" w14:textId="77777777" w:rsidR="004F7627" w:rsidRPr="004F7627" w:rsidRDefault="004F7627" w:rsidP="0029142A">
            <w:pPr>
              <w:pStyle w:val="Normal1"/>
              <w:widowControl w:val="0"/>
              <w:spacing w:line="276" w:lineRule="auto"/>
              <w:jc w:val="center"/>
              <w:rPr>
                <w:sz w:val="22"/>
                <w:szCs w:val="22"/>
              </w:rPr>
            </w:pPr>
            <w:r w:rsidRPr="004F7627">
              <w:rPr>
                <w:b/>
                <w:smallCaps/>
                <w:sz w:val="22"/>
                <w:szCs w:val="22"/>
              </w:rPr>
              <w:t>VIETTEL PERU S.A.C</w:t>
            </w:r>
          </w:p>
          <w:p w14:paraId="11435690" w14:textId="77777777" w:rsidR="004F7627" w:rsidRPr="004F7627" w:rsidRDefault="004F7627" w:rsidP="0029142A">
            <w:pPr>
              <w:pStyle w:val="Normal1"/>
              <w:widowControl w:val="0"/>
              <w:spacing w:line="276" w:lineRule="auto"/>
              <w:jc w:val="center"/>
              <w:rPr>
                <w:sz w:val="22"/>
                <w:szCs w:val="22"/>
              </w:rPr>
            </w:pPr>
            <w:r w:rsidRPr="004F7627">
              <w:rPr>
                <w:b/>
                <w:smallCaps/>
                <w:sz w:val="22"/>
                <w:szCs w:val="22"/>
              </w:rPr>
              <w:t xml:space="preserve"> ( </w:t>
            </w:r>
            <w:r w:rsidRPr="004F7627">
              <w:rPr>
                <w:b/>
                <w:sz w:val="22"/>
                <w:szCs w:val="22"/>
              </w:rPr>
              <w:t>the</w:t>
            </w:r>
            <w:r w:rsidRPr="004F7627">
              <w:rPr>
                <w:b/>
                <w:smallCaps/>
                <w:sz w:val="22"/>
                <w:szCs w:val="22"/>
              </w:rPr>
              <w:t xml:space="preserve"> BUYER)</w:t>
            </w:r>
          </w:p>
        </w:tc>
      </w:tr>
    </w:tbl>
    <w:p w14:paraId="7B998725" w14:textId="77777777" w:rsidR="004F7627" w:rsidRDefault="004F7627" w:rsidP="004F7627">
      <w:pPr>
        <w:pStyle w:val="Normal1"/>
        <w:widowControl w:val="0"/>
        <w:spacing w:line="276" w:lineRule="auto"/>
        <w:jc w:val="center"/>
        <w:rPr>
          <w:sz w:val="22"/>
          <w:szCs w:val="22"/>
        </w:rPr>
      </w:pPr>
    </w:p>
    <w:p w14:paraId="7EEBE142" w14:textId="77777777" w:rsidR="004F7627" w:rsidRDefault="004F7627" w:rsidP="004F7627">
      <w:pPr>
        <w:pStyle w:val="Normal1"/>
        <w:widowControl w:val="0"/>
        <w:spacing w:line="276" w:lineRule="auto"/>
        <w:jc w:val="center"/>
        <w:rPr>
          <w:sz w:val="22"/>
          <w:szCs w:val="22"/>
        </w:rPr>
      </w:pPr>
    </w:p>
    <w:p w14:paraId="3A2D950B" w14:textId="77777777" w:rsidR="004F7627" w:rsidRPr="004F7627" w:rsidRDefault="004F7627" w:rsidP="004F7627">
      <w:pPr>
        <w:pStyle w:val="Normal1"/>
        <w:widowControl w:val="0"/>
        <w:spacing w:line="276" w:lineRule="auto"/>
        <w:jc w:val="center"/>
        <w:rPr>
          <w:sz w:val="22"/>
          <w:szCs w:val="22"/>
        </w:rPr>
      </w:pPr>
    </w:p>
    <w:p w14:paraId="4BE29FB6" w14:textId="77777777" w:rsidR="004F7627" w:rsidRPr="004F7627" w:rsidRDefault="004F7627" w:rsidP="004F7627">
      <w:pPr>
        <w:pStyle w:val="Normal1"/>
        <w:widowControl w:val="0"/>
        <w:rPr>
          <w:sz w:val="22"/>
          <w:szCs w:val="22"/>
        </w:rPr>
      </w:pPr>
    </w:p>
    <w:p w14:paraId="5015D9F7" w14:textId="77777777" w:rsidR="004F7627" w:rsidRPr="004F7627" w:rsidRDefault="004F7627" w:rsidP="004F7627">
      <w:pPr>
        <w:pStyle w:val="Normal1"/>
        <w:widowControl w:val="0"/>
        <w:spacing w:line="276" w:lineRule="auto"/>
        <w:jc w:val="center"/>
        <w:rPr>
          <w:sz w:val="22"/>
          <w:szCs w:val="22"/>
        </w:rPr>
      </w:pPr>
      <w:r w:rsidRPr="004F7627">
        <w:rPr>
          <w:b/>
          <w:sz w:val="22"/>
          <w:szCs w:val="22"/>
        </w:rPr>
        <w:t>And</w:t>
      </w:r>
    </w:p>
    <w:tbl>
      <w:tblPr>
        <w:tblW w:w="8963" w:type="dxa"/>
        <w:tblInd w:w="-6" w:type="dxa"/>
        <w:tblLayout w:type="fixed"/>
        <w:tblLook w:val="0000" w:firstRow="0" w:lastRow="0" w:firstColumn="0" w:lastColumn="0" w:noHBand="0" w:noVBand="0"/>
      </w:tblPr>
      <w:tblGrid>
        <w:gridCol w:w="8963"/>
      </w:tblGrid>
      <w:tr w:rsidR="004F7627" w:rsidRPr="004F7627" w14:paraId="0A280AF2" w14:textId="77777777" w:rsidTr="0029142A">
        <w:trPr>
          <w:trHeight w:val="520"/>
        </w:trPr>
        <w:tc>
          <w:tcPr>
            <w:tcW w:w="8963" w:type="dxa"/>
            <w:vAlign w:val="center"/>
          </w:tcPr>
          <w:p w14:paraId="7157B231" w14:textId="77777777" w:rsidR="004F7627" w:rsidRPr="004F7627" w:rsidRDefault="004F7627" w:rsidP="0029142A">
            <w:pPr>
              <w:pStyle w:val="Normal1"/>
              <w:widowControl w:val="0"/>
              <w:spacing w:line="276" w:lineRule="auto"/>
              <w:jc w:val="center"/>
              <w:rPr>
                <w:sz w:val="22"/>
                <w:szCs w:val="22"/>
              </w:rPr>
            </w:pPr>
            <w:bookmarkStart w:id="2" w:name="1fob9te" w:colFirst="0" w:colLast="0"/>
            <w:bookmarkEnd w:id="2"/>
          </w:p>
          <w:p w14:paraId="4C5BFD5B" w14:textId="77777777" w:rsidR="004F7627" w:rsidRPr="004F7627" w:rsidRDefault="004F7627" w:rsidP="0029142A">
            <w:pPr>
              <w:pStyle w:val="Normal1"/>
              <w:widowControl w:val="0"/>
              <w:rPr>
                <w:sz w:val="22"/>
                <w:szCs w:val="22"/>
              </w:rPr>
            </w:pPr>
          </w:p>
          <w:p w14:paraId="76B4DC13" w14:textId="77777777" w:rsidR="00BC6789" w:rsidRDefault="00BC6789" w:rsidP="0029142A">
            <w:pPr>
              <w:pStyle w:val="Normal1"/>
              <w:widowControl w:val="0"/>
              <w:spacing w:line="276" w:lineRule="auto"/>
              <w:jc w:val="center"/>
              <w:rPr>
                <w:b/>
                <w:caps/>
                <w:sz w:val="22"/>
                <w:szCs w:val="22"/>
              </w:rPr>
            </w:pPr>
            <w:r w:rsidRPr="00BC6789">
              <w:rPr>
                <w:b/>
                <w:caps/>
                <w:sz w:val="22"/>
                <w:szCs w:val="22"/>
              </w:rPr>
              <w:t xml:space="preserve">ARABICA VIET NAM TECHNOLOGY APPLICATION JOINT STOCK COMPANY </w:t>
            </w:r>
          </w:p>
          <w:p w14:paraId="06411750" w14:textId="136BCEC6" w:rsidR="004F7627" w:rsidRPr="004F7627" w:rsidRDefault="004F7627" w:rsidP="0029142A">
            <w:pPr>
              <w:pStyle w:val="Normal1"/>
              <w:widowControl w:val="0"/>
              <w:spacing w:line="276" w:lineRule="auto"/>
              <w:jc w:val="center"/>
              <w:rPr>
                <w:sz w:val="22"/>
                <w:szCs w:val="22"/>
              </w:rPr>
            </w:pPr>
            <w:r w:rsidRPr="004F7627">
              <w:rPr>
                <w:b/>
                <w:smallCaps/>
                <w:sz w:val="22"/>
                <w:szCs w:val="22"/>
              </w:rPr>
              <w:t>(</w:t>
            </w:r>
            <w:r w:rsidRPr="004F7627">
              <w:rPr>
                <w:b/>
                <w:sz w:val="22"/>
                <w:szCs w:val="22"/>
              </w:rPr>
              <w:t>the</w:t>
            </w:r>
            <w:r w:rsidRPr="004F7627">
              <w:rPr>
                <w:b/>
                <w:smallCaps/>
                <w:sz w:val="22"/>
                <w:szCs w:val="22"/>
              </w:rPr>
              <w:t xml:space="preserve"> seller)</w:t>
            </w:r>
          </w:p>
        </w:tc>
      </w:tr>
    </w:tbl>
    <w:p w14:paraId="33F5A63B" w14:textId="77777777" w:rsidR="004F7627" w:rsidRPr="004F7627" w:rsidRDefault="004F7627" w:rsidP="004F7627">
      <w:pPr>
        <w:pStyle w:val="Normal1"/>
        <w:widowControl w:val="0"/>
        <w:spacing w:line="276" w:lineRule="auto"/>
        <w:rPr>
          <w:sz w:val="22"/>
          <w:szCs w:val="22"/>
        </w:rPr>
      </w:pPr>
    </w:p>
    <w:p w14:paraId="71F6E665" w14:textId="77777777" w:rsidR="004F7627" w:rsidRPr="004F7627" w:rsidRDefault="004F7627" w:rsidP="004F7627">
      <w:pPr>
        <w:pStyle w:val="Normal1"/>
        <w:widowControl w:val="0"/>
        <w:spacing w:line="276" w:lineRule="auto"/>
        <w:jc w:val="center"/>
        <w:rPr>
          <w:sz w:val="22"/>
          <w:szCs w:val="22"/>
        </w:rPr>
      </w:pPr>
    </w:p>
    <w:p w14:paraId="27F19D0A" w14:textId="77777777" w:rsidR="004F7627" w:rsidRPr="004F7627" w:rsidRDefault="004F7627" w:rsidP="004F7627">
      <w:pPr>
        <w:pStyle w:val="Normal1"/>
        <w:rPr>
          <w:sz w:val="22"/>
          <w:szCs w:val="22"/>
        </w:rPr>
      </w:pPr>
      <w:r w:rsidRPr="004F7627">
        <w:rPr>
          <w:sz w:val="22"/>
          <w:szCs w:val="22"/>
        </w:rPr>
        <w:br w:type="page"/>
      </w:r>
    </w:p>
    <w:p w14:paraId="58E7695B" w14:textId="0A228266" w:rsidR="004F7627" w:rsidRDefault="004F7627" w:rsidP="004F7627">
      <w:r>
        <w:lastRenderedPageBreak/>
        <w:t xml:space="preserve">This contract </w:t>
      </w:r>
      <w:r w:rsidRPr="004F7627">
        <w:rPr>
          <w:b/>
        </w:rPr>
        <w:t xml:space="preserve">No. </w:t>
      </w:r>
      <w:r w:rsidRPr="004F7627">
        <w:rPr>
          <w:b/>
          <w:highlight w:val="yellow"/>
        </w:rPr>
        <w:t>0</w:t>
      </w:r>
      <w:r w:rsidR="000F2086">
        <w:rPr>
          <w:b/>
        </w:rPr>
        <w:t>8</w:t>
      </w:r>
      <w:r w:rsidR="00BC6789">
        <w:rPr>
          <w:b/>
        </w:rPr>
        <w:t>/2020/VTP-ARABICA</w:t>
      </w:r>
      <w:r w:rsidRPr="004F7627">
        <w:rPr>
          <w:b/>
        </w:rPr>
        <w:t xml:space="preserve">/ SOFTWARE PACKAGE FOR </w:t>
      </w:r>
      <w:r w:rsidR="00F71141">
        <w:rPr>
          <w:b/>
        </w:rPr>
        <w:t>CALLBASE SYSTEM</w:t>
      </w:r>
      <w:r>
        <w:t xml:space="preserve"> is made and entered into on the date of </w:t>
      </w:r>
      <w:r w:rsidR="00BC6789">
        <w:t>28</w:t>
      </w:r>
      <w:r w:rsidR="00F71141">
        <w:t>/08</w:t>
      </w:r>
      <w:r>
        <w:t>/2020 by and between: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25"/>
        <w:gridCol w:w="6084"/>
      </w:tblGrid>
      <w:tr w:rsidR="004F7627" w14:paraId="1F37F0B7" w14:textId="77777777" w:rsidTr="0029142A">
        <w:tc>
          <w:tcPr>
            <w:tcW w:w="8494" w:type="dxa"/>
            <w:gridSpan w:val="3"/>
          </w:tcPr>
          <w:p w14:paraId="21E9BE58" w14:textId="00AB1F90" w:rsidR="004F7627" w:rsidRPr="004F7627" w:rsidRDefault="004F7627" w:rsidP="0029142A">
            <w:pPr>
              <w:rPr>
                <w:b/>
              </w:rPr>
            </w:pPr>
            <w:r w:rsidRPr="006B16C3">
              <w:rPr>
                <w:b/>
              </w:rPr>
              <w:t>VIETTEL PERU S.A.C</w:t>
            </w:r>
          </w:p>
        </w:tc>
      </w:tr>
      <w:tr w:rsidR="004F7627" w:rsidRPr="00F41395" w14:paraId="36185D90" w14:textId="77777777" w:rsidTr="004F7627">
        <w:tc>
          <w:tcPr>
            <w:tcW w:w="1985" w:type="dxa"/>
          </w:tcPr>
          <w:p w14:paraId="401A5F8B" w14:textId="77777777" w:rsidR="004F7627" w:rsidRDefault="004F7627" w:rsidP="0029142A">
            <w:r w:rsidRPr="007B6781">
              <w:t>Address</w:t>
            </w:r>
          </w:p>
        </w:tc>
        <w:tc>
          <w:tcPr>
            <w:tcW w:w="425" w:type="dxa"/>
          </w:tcPr>
          <w:p w14:paraId="4ED020C6" w14:textId="77777777" w:rsidR="004F7627" w:rsidRDefault="004F7627" w:rsidP="0029142A">
            <w:r w:rsidRPr="009864D7">
              <w:t>:</w:t>
            </w:r>
          </w:p>
        </w:tc>
        <w:tc>
          <w:tcPr>
            <w:tcW w:w="6084" w:type="dxa"/>
          </w:tcPr>
          <w:p w14:paraId="21863E7F" w14:textId="1E4071D7" w:rsidR="004F7627" w:rsidRPr="004F7627" w:rsidRDefault="004F7627" w:rsidP="0029142A">
            <w:pPr>
              <w:rPr>
                <w:lang w:val="es-ES"/>
              </w:rPr>
            </w:pPr>
            <w:r w:rsidRPr="004F7627">
              <w:rPr>
                <w:lang w:val="es-ES"/>
              </w:rPr>
              <w:t>Calle 21</w:t>
            </w:r>
            <w:r>
              <w:rPr>
                <w:lang w:val="es-ES"/>
              </w:rPr>
              <w:t xml:space="preserve"> No.878, San Isidro, Lima, </w:t>
            </w:r>
            <w:proofErr w:type="spellStart"/>
            <w:r>
              <w:rPr>
                <w:lang w:val="es-ES"/>
              </w:rPr>
              <w:t>Peru</w:t>
            </w:r>
            <w:proofErr w:type="spellEnd"/>
          </w:p>
        </w:tc>
      </w:tr>
      <w:tr w:rsidR="004F7627" w14:paraId="6F01D782" w14:textId="77777777" w:rsidTr="004F7627">
        <w:tc>
          <w:tcPr>
            <w:tcW w:w="1985" w:type="dxa"/>
          </w:tcPr>
          <w:p w14:paraId="5FCA2578" w14:textId="77777777" w:rsidR="004F7627" w:rsidRDefault="004F7627" w:rsidP="0029142A">
            <w:r>
              <w:t>Telephone</w:t>
            </w:r>
          </w:p>
        </w:tc>
        <w:tc>
          <w:tcPr>
            <w:tcW w:w="425" w:type="dxa"/>
          </w:tcPr>
          <w:p w14:paraId="690C435C" w14:textId="77777777" w:rsidR="004F7627" w:rsidRDefault="004F7627" w:rsidP="0029142A">
            <w:r w:rsidRPr="009864D7">
              <w:t>:</w:t>
            </w:r>
          </w:p>
        </w:tc>
        <w:tc>
          <w:tcPr>
            <w:tcW w:w="6084" w:type="dxa"/>
          </w:tcPr>
          <w:p w14:paraId="1681074D" w14:textId="7A4F850C" w:rsidR="004F7627" w:rsidRDefault="004F7627" w:rsidP="0029142A">
            <w:r w:rsidRPr="004F7627">
              <w:t>0051-2260919</w:t>
            </w:r>
          </w:p>
        </w:tc>
      </w:tr>
      <w:tr w:rsidR="004F7627" w14:paraId="2ADEBCA5" w14:textId="77777777" w:rsidTr="004F7627">
        <w:tc>
          <w:tcPr>
            <w:tcW w:w="1985" w:type="dxa"/>
          </w:tcPr>
          <w:p w14:paraId="34B57B75" w14:textId="01C30739" w:rsidR="004F7627" w:rsidRDefault="00F71141" w:rsidP="0029142A">
            <w:r>
              <w:t>Represented</w:t>
            </w:r>
            <w:r w:rsidR="004F7627" w:rsidRPr="007B6781">
              <w:t xml:space="preserve"> by</w:t>
            </w:r>
          </w:p>
        </w:tc>
        <w:tc>
          <w:tcPr>
            <w:tcW w:w="425" w:type="dxa"/>
          </w:tcPr>
          <w:p w14:paraId="314DFA44" w14:textId="77777777" w:rsidR="004F7627" w:rsidRDefault="004F7627" w:rsidP="0029142A">
            <w:r w:rsidRPr="009864D7">
              <w:t>:</w:t>
            </w:r>
          </w:p>
        </w:tc>
        <w:tc>
          <w:tcPr>
            <w:tcW w:w="6084" w:type="dxa"/>
          </w:tcPr>
          <w:p w14:paraId="1786D67A" w14:textId="19EBDB79" w:rsidR="004F7627" w:rsidRPr="004F7627" w:rsidRDefault="004F7627" w:rsidP="0029142A">
            <w:pPr>
              <w:rPr>
                <w:b/>
              </w:rPr>
            </w:pPr>
            <w:r w:rsidRPr="004F7627">
              <w:rPr>
                <w:b/>
              </w:rPr>
              <w:t>PHAN HOANG VIET</w:t>
            </w:r>
          </w:p>
        </w:tc>
      </w:tr>
      <w:tr w:rsidR="004F7627" w14:paraId="784B0A43" w14:textId="77777777" w:rsidTr="004F7627">
        <w:tc>
          <w:tcPr>
            <w:tcW w:w="1985" w:type="dxa"/>
          </w:tcPr>
          <w:p w14:paraId="3DF7D3DE" w14:textId="77777777" w:rsidR="004F7627" w:rsidRPr="007B6781" w:rsidRDefault="004F7627" w:rsidP="0029142A">
            <w:r w:rsidRPr="002F7543">
              <w:t>Representative Title</w:t>
            </w:r>
          </w:p>
        </w:tc>
        <w:tc>
          <w:tcPr>
            <w:tcW w:w="425" w:type="dxa"/>
          </w:tcPr>
          <w:p w14:paraId="6787C1E4" w14:textId="77777777" w:rsidR="004F7627" w:rsidRPr="009864D7" w:rsidRDefault="004F7627" w:rsidP="0029142A">
            <w:r>
              <w:t>:</w:t>
            </w:r>
          </w:p>
        </w:tc>
        <w:tc>
          <w:tcPr>
            <w:tcW w:w="6084" w:type="dxa"/>
          </w:tcPr>
          <w:p w14:paraId="5E26244A" w14:textId="5DB13619" w:rsidR="004F7627" w:rsidRPr="004F7627" w:rsidRDefault="004F7627" w:rsidP="0029142A">
            <w:pPr>
              <w:rPr>
                <w:b/>
              </w:rPr>
            </w:pPr>
            <w:r w:rsidRPr="004F7627">
              <w:rPr>
                <w:b/>
              </w:rPr>
              <w:t>General Director</w:t>
            </w:r>
          </w:p>
        </w:tc>
      </w:tr>
    </w:tbl>
    <w:p w14:paraId="5772DEF6" w14:textId="42C24A6F" w:rsidR="004F7627" w:rsidRPr="004F7627" w:rsidRDefault="004F7627" w:rsidP="004F7627">
      <w:pPr>
        <w:rPr>
          <w:i/>
        </w:rPr>
      </w:pPr>
      <w:r w:rsidRPr="004F7627">
        <w:rPr>
          <w:i/>
        </w:rPr>
        <w:t xml:space="preserve">(Hereafter referred to as the “Buyer”) </w:t>
      </w:r>
    </w:p>
    <w:p w14:paraId="6CE07601" w14:textId="77777777" w:rsidR="004F7627" w:rsidRPr="004F7627" w:rsidRDefault="004F7627" w:rsidP="004F7627">
      <w:pPr>
        <w:rPr>
          <w:i/>
        </w:rPr>
      </w:pPr>
    </w:p>
    <w:p w14:paraId="7A1C011E" w14:textId="77777777" w:rsidR="004F7627" w:rsidRDefault="004F7627" w:rsidP="004F7627">
      <w:pPr>
        <w:rPr>
          <w:i/>
        </w:rPr>
      </w:pPr>
      <w:r w:rsidRPr="004F7627">
        <w:rPr>
          <w:i/>
        </w:rPr>
        <w:t>And</w:t>
      </w:r>
    </w:p>
    <w:p w14:paraId="4D3F7411" w14:textId="77777777" w:rsidR="004F7627" w:rsidRPr="004F7627" w:rsidRDefault="004F7627" w:rsidP="004F7627">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25"/>
        <w:gridCol w:w="6084"/>
      </w:tblGrid>
      <w:tr w:rsidR="004F7627" w14:paraId="4B85BBC2" w14:textId="77777777" w:rsidTr="0029142A">
        <w:tc>
          <w:tcPr>
            <w:tcW w:w="8494" w:type="dxa"/>
            <w:gridSpan w:val="3"/>
          </w:tcPr>
          <w:p w14:paraId="673731FE" w14:textId="7717DCDC" w:rsidR="004F7627" w:rsidRPr="004F7627" w:rsidRDefault="007625B0" w:rsidP="0029142A">
            <w:pPr>
              <w:rPr>
                <w:b/>
              </w:rPr>
            </w:pPr>
            <w:r w:rsidRPr="007625B0">
              <w:rPr>
                <w:b/>
              </w:rPr>
              <w:t>ARABICA VIET</w:t>
            </w:r>
            <w:r w:rsidR="00230E15">
              <w:rPr>
                <w:b/>
              </w:rPr>
              <w:t xml:space="preserve"> </w:t>
            </w:r>
            <w:r w:rsidRPr="007625B0">
              <w:rPr>
                <w:b/>
              </w:rPr>
              <w:t>NAM TECHNOLOGY APPLICATION JOINT ST</w:t>
            </w:r>
            <w:r w:rsidR="00885356">
              <w:rPr>
                <w:b/>
              </w:rPr>
              <w:t>O</w:t>
            </w:r>
            <w:r w:rsidRPr="007625B0">
              <w:rPr>
                <w:b/>
              </w:rPr>
              <w:t>CK COMPANY</w:t>
            </w:r>
          </w:p>
        </w:tc>
      </w:tr>
      <w:tr w:rsidR="004F7627" w14:paraId="5A3FA140" w14:textId="77777777" w:rsidTr="004F7627">
        <w:tc>
          <w:tcPr>
            <w:tcW w:w="1985" w:type="dxa"/>
          </w:tcPr>
          <w:p w14:paraId="6480DD30" w14:textId="77777777" w:rsidR="004F7627" w:rsidRDefault="004F7627" w:rsidP="0029142A">
            <w:r w:rsidRPr="007B6781">
              <w:t>Address</w:t>
            </w:r>
          </w:p>
        </w:tc>
        <w:tc>
          <w:tcPr>
            <w:tcW w:w="425" w:type="dxa"/>
          </w:tcPr>
          <w:p w14:paraId="3EB260DD" w14:textId="77777777" w:rsidR="004F7627" w:rsidRDefault="004F7627" w:rsidP="0029142A">
            <w:r w:rsidRPr="009864D7">
              <w:t>:</w:t>
            </w:r>
          </w:p>
        </w:tc>
        <w:tc>
          <w:tcPr>
            <w:tcW w:w="6084" w:type="dxa"/>
          </w:tcPr>
          <w:p w14:paraId="5C3AE3BD" w14:textId="732C5136" w:rsidR="004F7627" w:rsidRDefault="00BC6789" w:rsidP="0029142A">
            <w:r w:rsidRPr="00BC6789">
              <w:t>Floor 2, number 2F, 200, Vinh Hung street, Vinh Hung ward, Hoang Mai district, Hanoi</w:t>
            </w:r>
          </w:p>
        </w:tc>
      </w:tr>
      <w:tr w:rsidR="004F7627" w14:paraId="52380D21" w14:textId="77777777" w:rsidTr="004F7627">
        <w:tc>
          <w:tcPr>
            <w:tcW w:w="1985" w:type="dxa"/>
          </w:tcPr>
          <w:p w14:paraId="5619FB0D" w14:textId="77777777" w:rsidR="004F7627" w:rsidRDefault="004F7627" w:rsidP="0029142A">
            <w:r>
              <w:t>Telephone</w:t>
            </w:r>
          </w:p>
        </w:tc>
        <w:tc>
          <w:tcPr>
            <w:tcW w:w="425" w:type="dxa"/>
          </w:tcPr>
          <w:p w14:paraId="3DC103A8" w14:textId="77777777" w:rsidR="004F7627" w:rsidRDefault="004F7627" w:rsidP="0029142A">
            <w:r w:rsidRPr="009864D7">
              <w:t>:</w:t>
            </w:r>
          </w:p>
        </w:tc>
        <w:tc>
          <w:tcPr>
            <w:tcW w:w="6084" w:type="dxa"/>
          </w:tcPr>
          <w:p w14:paraId="30B60705" w14:textId="4922ECE6" w:rsidR="004F7627" w:rsidRDefault="004F7627" w:rsidP="0029142A">
            <w:r w:rsidRPr="007B6781">
              <w:t xml:space="preserve">(+84) </w:t>
            </w:r>
            <w:r w:rsidR="00BC6789" w:rsidRPr="00BC6789">
              <w:t>868 92 95 96</w:t>
            </w:r>
          </w:p>
        </w:tc>
      </w:tr>
      <w:tr w:rsidR="004F7627" w14:paraId="5EA1A9FD" w14:textId="77777777" w:rsidTr="004F7627">
        <w:tc>
          <w:tcPr>
            <w:tcW w:w="1985" w:type="dxa"/>
          </w:tcPr>
          <w:p w14:paraId="4B5C7B50" w14:textId="7F1F76F0" w:rsidR="004F7627" w:rsidRDefault="00F71141" w:rsidP="0029142A">
            <w:r>
              <w:t>Represented</w:t>
            </w:r>
            <w:r w:rsidRPr="007B6781">
              <w:t xml:space="preserve"> by</w:t>
            </w:r>
          </w:p>
        </w:tc>
        <w:tc>
          <w:tcPr>
            <w:tcW w:w="425" w:type="dxa"/>
          </w:tcPr>
          <w:p w14:paraId="35F37B1D" w14:textId="77777777" w:rsidR="004F7627" w:rsidRDefault="004F7627" w:rsidP="0029142A">
            <w:r w:rsidRPr="009864D7">
              <w:t>:</w:t>
            </w:r>
          </w:p>
        </w:tc>
        <w:tc>
          <w:tcPr>
            <w:tcW w:w="6084" w:type="dxa"/>
          </w:tcPr>
          <w:p w14:paraId="58C6D336" w14:textId="767C7EB5" w:rsidR="004F7627" w:rsidRPr="004F7627" w:rsidRDefault="00BC6789" w:rsidP="0029142A">
            <w:pPr>
              <w:rPr>
                <w:b/>
              </w:rPr>
            </w:pPr>
            <w:r w:rsidRPr="00BC6789">
              <w:rPr>
                <w:b/>
              </w:rPr>
              <w:t>HOANG XUAN MANH</w:t>
            </w:r>
          </w:p>
        </w:tc>
      </w:tr>
      <w:tr w:rsidR="004F7627" w14:paraId="36C0956F" w14:textId="77777777" w:rsidTr="004F7627">
        <w:tc>
          <w:tcPr>
            <w:tcW w:w="1985" w:type="dxa"/>
          </w:tcPr>
          <w:p w14:paraId="7B0333E9" w14:textId="77777777" w:rsidR="004F7627" w:rsidRPr="007B6781" w:rsidRDefault="004F7627" w:rsidP="0029142A">
            <w:r w:rsidRPr="002F7543">
              <w:t>Representative Title</w:t>
            </w:r>
          </w:p>
        </w:tc>
        <w:tc>
          <w:tcPr>
            <w:tcW w:w="425" w:type="dxa"/>
          </w:tcPr>
          <w:p w14:paraId="44EB6C27" w14:textId="77777777" w:rsidR="004F7627" w:rsidRPr="009864D7" w:rsidRDefault="004F7627" w:rsidP="0029142A">
            <w:r>
              <w:t>:</w:t>
            </w:r>
          </w:p>
        </w:tc>
        <w:tc>
          <w:tcPr>
            <w:tcW w:w="6084" w:type="dxa"/>
          </w:tcPr>
          <w:p w14:paraId="16A0ED69" w14:textId="77777777" w:rsidR="004F7627" w:rsidRPr="004F7627" w:rsidRDefault="004F7627" w:rsidP="0029142A">
            <w:pPr>
              <w:rPr>
                <w:b/>
              </w:rPr>
            </w:pPr>
            <w:r w:rsidRPr="004F7627">
              <w:rPr>
                <w:b/>
              </w:rPr>
              <w:t>Director</w:t>
            </w:r>
          </w:p>
        </w:tc>
      </w:tr>
    </w:tbl>
    <w:p w14:paraId="16547DCE" w14:textId="77777777" w:rsidR="004F7627" w:rsidRDefault="004F7627" w:rsidP="004F7627"/>
    <w:p w14:paraId="3EF28A73" w14:textId="77777777" w:rsidR="004F7627" w:rsidRDefault="004F7627" w:rsidP="004F7627">
      <w:r>
        <w:t>The Buyer and the Seller shall be referred to as a ‘Party’ independently and the ‘Parties’ collectively in this Contract.</w:t>
      </w:r>
    </w:p>
    <w:p w14:paraId="5D94C4AC" w14:textId="48F776D1" w:rsidR="004F7627" w:rsidRDefault="004F7627" w:rsidP="004F7627">
      <w:r>
        <w:t>Now therefore, the parties hereto, in consideration of the mutual covenants herein expressed, agree with each other as follows:</w:t>
      </w:r>
    </w:p>
    <w:p w14:paraId="2F49F2E5" w14:textId="77777777" w:rsidR="004F7627" w:rsidRDefault="004F7627" w:rsidP="004F7627"/>
    <w:p w14:paraId="42F8110F" w14:textId="77777777" w:rsidR="004F7627" w:rsidRPr="004F7627" w:rsidRDefault="004F7627" w:rsidP="004F7627">
      <w:pPr>
        <w:rPr>
          <w:b/>
        </w:rPr>
      </w:pPr>
      <w:r w:rsidRPr="004F7627">
        <w:rPr>
          <w:b/>
        </w:rPr>
        <w:t>IT IS HEREBY AGREED AS FOLLOWS:</w:t>
      </w:r>
    </w:p>
    <w:p w14:paraId="16880BF4" w14:textId="77777777" w:rsidR="004F7627" w:rsidRPr="007B646A" w:rsidRDefault="004F7627" w:rsidP="00113FA8">
      <w:pPr>
        <w:pStyle w:val="Heading1"/>
        <w:jc w:val="both"/>
        <w:rPr>
          <w:lang w:val="en-GB"/>
        </w:rPr>
      </w:pPr>
      <w:r w:rsidRPr="007B646A">
        <w:rPr>
          <w:lang w:val="en-GB"/>
        </w:rPr>
        <w:t>ARTICLE 1: INTERPRETATION</w:t>
      </w:r>
    </w:p>
    <w:p w14:paraId="7C3F4A02" w14:textId="77777777" w:rsidR="004F7627" w:rsidRDefault="004F7627" w:rsidP="004F7627">
      <w:r>
        <w:t>In this Contract:</w:t>
      </w:r>
    </w:p>
    <w:p w14:paraId="23071BAD" w14:textId="62CCDB0A" w:rsidR="004F7627" w:rsidRDefault="004F7627" w:rsidP="006C19E1">
      <w:pPr>
        <w:pStyle w:val="ListParagraph"/>
        <w:numPr>
          <w:ilvl w:val="1"/>
          <w:numId w:val="2"/>
        </w:numPr>
      </w:pPr>
      <w:r>
        <w:t>Words denoting the singular shall include the plural and vice versa;</w:t>
      </w:r>
    </w:p>
    <w:p w14:paraId="62BD7385" w14:textId="43528658" w:rsidR="004F7627" w:rsidRDefault="004F7627" w:rsidP="006C19E1">
      <w:pPr>
        <w:pStyle w:val="ListParagraph"/>
        <w:numPr>
          <w:ilvl w:val="1"/>
          <w:numId w:val="2"/>
        </w:numPr>
      </w:pPr>
      <w:r>
        <w:t>Headings are for convenience of reference only and shall not affect the construction or interpretation of the provisions of this Contract;</w:t>
      </w:r>
    </w:p>
    <w:p w14:paraId="19058D96" w14:textId="380965FC" w:rsidR="004F7627" w:rsidRDefault="004F7627" w:rsidP="006C19E1">
      <w:pPr>
        <w:pStyle w:val="ListParagraph"/>
        <w:numPr>
          <w:ilvl w:val="1"/>
          <w:numId w:val="2"/>
        </w:numPr>
      </w:pPr>
      <w:r>
        <w:t xml:space="preserve">A reference to a “Law” shall include all applicable laws and regulations as well as all amendments of such Law for the time being in force and any other Law enacted in substitution and all regulations (including decrees, orders and other executive instruments </w:t>
      </w:r>
      <w:r>
        <w:lastRenderedPageBreak/>
        <w:t>issued by any governmental entity), proclamations, ordinances and articles of association for the time being in force under that Law and any notice, demand, order, direction, requirement or obligation under or pursuant to that Law or those regulations, proclamations, ordinances and articles of association;</w:t>
      </w:r>
    </w:p>
    <w:p w14:paraId="051565EC" w14:textId="3B071B2A" w:rsidR="004F7627" w:rsidRDefault="004F7627" w:rsidP="006C19E1">
      <w:pPr>
        <w:pStyle w:val="ListParagraph"/>
        <w:numPr>
          <w:ilvl w:val="1"/>
          <w:numId w:val="2"/>
        </w:numPr>
      </w:pPr>
      <w:r>
        <w:t>Where the consent or approval of a Party to this Contract is required hereunder to any act, matter, or thing, such requirement shall, in the absence of any express stipulation to the contrary herein, mean the prior consent or approval (as the case may be) in writing in the reasonable discretion of such Party;</w:t>
      </w:r>
    </w:p>
    <w:p w14:paraId="20F3CB94" w14:textId="5FA790FA" w:rsidR="004F7627" w:rsidRDefault="004F7627" w:rsidP="006C19E1">
      <w:pPr>
        <w:pStyle w:val="ListParagraph"/>
        <w:numPr>
          <w:ilvl w:val="1"/>
          <w:numId w:val="2"/>
        </w:numPr>
      </w:pPr>
      <w:r>
        <w:t>When calculating a period of time within which or following which any act is to be done or step taken, the date which is the reference day in calculating such period shall be excluded and the period of time shall end on its last day at 11:59 PM. If this period has to be calculated in Working Days and if the last day of such period is not a Working Day, the period shall end on the next day which is a Working Day;</w:t>
      </w:r>
    </w:p>
    <w:p w14:paraId="43D5B320" w14:textId="0C7202F5" w:rsidR="004F7627" w:rsidRDefault="004F7627" w:rsidP="006C19E1">
      <w:pPr>
        <w:pStyle w:val="ListParagraph"/>
        <w:numPr>
          <w:ilvl w:val="1"/>
          <w:numId w:val="2"/>
        </w:numPr>
      </w:pPr>
      <w:r>
        <w:t>The words “in particular”, “include”, “includes” and “including” shall be deemed to be followed by the phrase “without limitation”.</w:t>
      </w:r>
    </w:p>
    <w:p w14:paraId="216F6001" w14:textId="77777777" w:rsidR="004F7627" w:rsidRPr="003469C0" w:rsidRDefault="004F7627" w:rsidP="00113FA8">
      <w:pPr>
        <w:pStyle w:val="Heading1"/>
        <w:ind w:left="0" w:firstLine="0"/>
        <w:jc w:val="both"/>
      </w:pPr>
      <w:r w:rsidRPr="003469C0">
        <w:t>ARTICLE 2: SCOPE OF CONTRACT</w:t>
      </w:r>
    </w:p>
    <w:p w14:paraId="48C2BFFC" w14:textId="5B9EF694" w:rsidR="004F7627" w:rsidRDefault="004F7627" w:rsidP="006C19E1">
      <w:pPr>
        <w:pStyle w:val="ListParagraph"/>
        <w:numPr>
          <w:ilvl w:val="1"/>
          <w:numId w:val="3"/>
        </w:numPr>
        <w:ind w:left="851" w:hanging="425"/>
      </w:pPr>
      <w:r>
        <w:t xml:space="preserve">The Buyer agrees to buy and the Seller agrees to sell the </w:t>
      </w:r>
      <w:r w:rsidRPr="00267095">
        <w:rPr>
          <w:b/>
        </w:rPr>
        <w:t xml:space="preserve">SOFTWARE PACKAGE FOR </w:t>
      </w:r>
      <w:r w:rsidR="00CC2A02">
        <w:rPr>
          <w:b/>
        </w:rPr>
        <w:t>CALLBASE SYSTEM</w:t>
      </w:r>
      <w:r>
        <w:t xml:space="preserve"> premises in accordance with the Technical Specifications specified in all related annexes of this Contract (hereinafter referred to as “Software”). The Seller shall support the Buyer with the software setup.  </w:t>
      </w:r>
    </w:p>
    <w:p w14:paraId="724BF42B" w14:textId="77777777" w:rsidR="004F7627" w:rsidRDefault="004F7627" w:rsidP="006C19E1">
      <w:pPr>
        <w:pStyle w:val="ListParagraph"/>
        <w:numPr>
          <w:ilvl w:val="0"/>
          <w:numId w:val="13"/>
        </w:numPr>
      </w:pPr>
      <w:r>
        <w:t xml:space="preserve">Delivery place: </w:t>
      </w:r>
      <w:r w:rsidRPr="003469C0">
        <w:rPr>
          <w:b/>
        </w:rPr>
        <w:t>VIETTEL PERU S.A.C</w:t>
      </w:r>
    </w:p>
    <w:p w14:paraId="66E31CB7" w14:textId="77777777" w:rsidR="004F7627" w:rsidRPr="003469C0" w:rsidRDefault="004F7627" w:rsidP="006C19E1">
      <w:pPr>
        <w:pStyle w:val="ListParagraph"/>
        <w:numPr>
          <w:ilvl w:val="0"/>
          <w:numId w:val="13"/>
        </w:numPr>
        <w:rPr>
          <w:lang w:val="es-ES"/>
        </w:rPr>
      </w:pPr>
      <w:proofErr w:type="spellStart"/>
      <w:r w:rsidRPr="003469C0">
        <w:rPr>
          <w:lang w:val="es-ES"/>
        </w:rPr>
        <w:t>Address</w:t>
      </w:r>
      <w:proofErr w:type="spellEnd"/>
      <w:r w:rsidRPr="003469C0">
        <w:rPr>
          <w:lang w:val="es-ES"/>
        </w:rPr>
        <w:t>: Calle 21 No.878, San Isidro – Lima – Perú.</w:t>
      </w:r>
    </w:p>
    <w:p w14:paraId="31D18581" w14:textId="6AAA1F4D" w:rsidR="004F7627" w:rsidRDefault="004F7627" w:rsidP="006C19E1">
      <w:pPr>
        <w:pStyle w:val="ListParagraph"/>
        <w:numPr>
          <w:ilvl w:val="1"/>
          <w:numId w:val="3"/>
        </w:numPr>
        <w:ind w:left="851" w:hanging="425"/>
      </w:pPr>
      <w:r>
        <w:t xml:space="preserve">The following Annexes attached hereto shall constitute integral parts of this Contract: </w:t>
      </w:r>
    </w:p>
    <w:p w14:paraId="4DFB645A" w14:textId="677B470F" w:rsidR="004F7627" w:rsidRPr="003469C0" w:rsidRDefault="004F7627" w:rsidP="006C19E1">
      <w:pPr>
        <w:pStyle w:val="ListParagraph"/>
        <w:numPr>
          <w:ilvl w:val="0"/>
          <w:numId w:val="14"/>
        </w:numPr>
        <w:rPr>
          <w:b/>
        </w:rPr>
      </w:pPr>
      <w:r w:rsidRPr="003469C0">
        <w:rPr>
          <w:b/>
        </w:rPr>
        <w:t>Annex 01:</w:t>
      </w:r>
      <w:r w:rsidR="003469C0" w:rsidRPr="003469C0">
        <w:rPr>
          <w:b/>
        </w:rPr>
        <w:t xml:space="preserve">  </w:t>
      </w:r>
      <w:r w:rsidRPr="003469C0">
        <w:rPr>
          <w:b/>
        </w:rPr>
        <w:t>List of software /handover documents;</w:t>
      </w:r>
    </w:p>
    <w:p w14:paraId="4045BD44" w14:textId="6AAAAF1A" w:rsidR="004F7627" w:rsidRPr="003469C0" w:rsidRDefault="003469C0" w:rsidP="006C19E1">
      <w:pPr>
        <w:pStyle w:val="ListParagraph"/>
        <w:numPr>
          <w:ilvl w:val="0"/>
          <w:numId w:val="14"/>
        </w:numPr>
        <w:rPr>
          <w:b/>
        </w:rPr>
      </w:pPr>
      <w:r w:rsidRPr="003469C0">
        <w:rPr>
          <w:b/>
        </w:rPr>
        <w:t xml:space="preserve">Annex 02: </w:t>
      </w:r>
      <w:r w:rsidR="004F7627" w:rsidRPr="003469C0">
        <w:rPr>
          <w:b/>
        </w:rPr>
        <w:t>List of functions;</w:t>
      </w:r>
    </w:p>
    <w:p w14:paraId="4E7ABB1C" w14:textId="13127431" w:rsidR="004F7627" w:rsidRPr="003469C0" w:rsidRDefault="003469C0" w:rsidP="006C19E1">
      <w:pPr>
        <w:pStyle w:val="ListParagraph"/>
        <w:numPr>
          <w:ilvl w:val="0"/>
          <w:numId w:val="14"/>
        </w:numPr>
        <w:rPr>
          <w:b/>
        </w:rPr>
      </w:pPr>
      <w:r w:rsidRPr="003469C0">
        <w:rPr>
          <w:b/>
        </w:rPr>
        <w:t>Annex 03:</w:t>
      </w:r>
      <w:r w:rsidR="004F7627" w:rsidRPr="003469C0">
        <w:rPr>
          <w:b/>
        </w:rPr>
        <w:t xml:space="preserve"> Technical Specifications.</w:t>
      </w:r>
    </w:p>
    <w:p w14:paraId="5569001B" w14:textId="059608A3" w:rsidR="004F7627" w:rsidRDefault="004F7627" w:rsidP="006C19E1">
      <w:pPr>
        <w:pStyle w:val="ListParagraph"/>
        <w:numPr>
          <w:ilvl w:val="1"/>
          <w:numId w:val="3"/>
        </w:numPr>
        <w:ind w:left="851" w:hanging="425"/>
      </w:pPr>
      <w:r>
        <w:t>In the event of any conflict, discrepancy and/or inconsistency between this Contract and any of the annexes attached to this Contract, the conflict, discrepancy and/or inconsistency shall be resolved by giving precedence to this Contract.</w:t>
      </w:r>
    </w:p>
    <w:p w14:paraId="0783F9CC" w14:textId="77777777" w:rsidR="004F7627" w:rsidRPr="003469C0" w:rsidRDefault="004F7627" w:rsidP="00113FA8">
      <w:pPr>
        <w:pStyle w:val="Heading1"/>
        <w:jc w:val="both"/>
      </w:pPr>
      <w:r w:rsidRPr="003469C0">
        <w:t>ARTICLE 3: COMMODITIES</w:t>
      </w:r>
    </w:p>
    <w:p w14:paraId="6D12C872" w14:textId="0A68F7D9" w:rsidR="004F7627" w:rsidRDefault="004F7627" w:rsidP="006C19E1">
      <w:pPr>
        <w:pStyle w:val="ListParagraph"/>
        <w:numPr>
          <w:ilvl w:val="1"/>
          <w:numId w:val="4"/>
        </w:numPr>
        <w:ind w:left="851" w:hanging="425"/>
      </w:pPr>
      <w:r>
        <w:t>All the Software shall meet all requirements stipulated in this Contract as well as other requirements stipulated by the Developer in their technical document detailed in the Invitation Letter. The Software must be of the latest version putting into commercialization up to the Contract signing date.</w:t>
      </w:r>
    </w:p>
    <w:p w14:paraId="2216507F" w14:textId="77777777" w:rsidR="004F7627" w:rsidRPr="003469C0" w:rsidRDefault="004F7627" w:rsidP="00113FA8">
      <w:pPr>
        <w:pStyle w:val="Heading1"/>
        <w:jc w:val="both"/>
      </w:pPr>
      <w:r w:rsidRPr="003469C0">
        <w:t>ARTICLE 4: SETUP SCHEDULE</w:t>
      </w:r>
    </w:p>
    <w:p w14:paraId="4D1AE5E9" w14:textId="4058D6CC" w:rsidR="004F7627" w:rsidRDefault="004F7627" w:rsidP="006C19E1">
      <w:pPr>
        <w:pStyle w:val="ListParagraph"/>
        <w:numPr>
          <w:ilvl w:val="1"/>
          <w:numId w:val="5"/>
        </w:numPr>
        <w:ind w:left="851" w:hanging="425"/>
      </w:pPr>
      <w:r>
        <w:t>Deadline to start the delivery: one (01) month since the Parties sign the Handover Memorandum regarding the hardware system, related equipment, connection parameters and documents stipulated in the Contract.</w:t>
      </w:r>
    </w:p>
    <w:p w14:paraId="1BF30A51" w14:textId="51283ED2" w:rsidR="004F7627" w:rsidRDefault="004F7627" w:rsidP="006C19E1">
      <w:pPr>
        <w:pStyle w:val="ListParagraph"/>
        <w:numPr>
          <w:ilvl w:val="1"/>
          <w:numId w:val="5"/>
        </w:numPr>
        <w:ind w:left="851" w:hanging="425"/>
      </w:pPr>
      <w:r>
        <w:t xml:space="preserve">Notwithstanding, the Seller is obliged to accept any adjustment to the original schedule and shall unconditionally comply with the revised schedule. All additional costs arising from the schedule amendment will be paid by the Buyer at his own cost. </w:t>
      </w:r>
    </w:p>
    <w:p w14:paraId="7ACED4D6" w14:textId="77777777" w:rsidR="004F7627" w:rsidRPr="00113FA8" w:rsidRDefault="004F7627" w:rsidP="00113FA8">
      <w:pPr>
        <w:pStyle w:val="Heading1"/>
        <w:jc w:val="both"/>
        <w:rPr>
          <w:lang w:val="en-GB"/>
        </w:rPr>
      </w:pPr>
      <w:r w:rsidRPr="00113FA8">
        <w:rPr>
          <w:lang w:val="en-GB"/>
        </w:rPr>
        <w:lastRenderedPageBreak/>
        <w:t>ARTICLE 5: PRICE AND TERMS OF PAYMENT</w:t>
      </w:r>
    </w:p>
    <w:p w14:paraId="6BC7FF64" w14:textId="5227DA8F" w:rsidR="004F7627" w:rsidRDefault="003469C0" w:rsidP="00113FA8">
      <w:pPr>
        <w:pStyle w:val="Heading2"/>
      </w:pPr>
      <w:r>
        <w:t>Prices</w:t>
      </w:r>
    </w:p>
    <w:p w14:paraId="729D7DA9" w14:textId="03820CE0" w:rsidR="004F7627" w:rsidRDefault="004F7627" w:rsidP="00113FA8">
      <w:pPr>
        <w:ind w:left="851" w:hanging="425"/>
      </w:pPr>
      <w:r>
        <w:t xml:space="preserve">Total Contract Price:  </w:t>
      </w:r>
      <w:r w:rsidR="00CC2A02">
        <w:rPr>
          <w:b/>
        </w:rPr>
        <w:t>45,100</w:t>
      </w:r>
      <w:r w:rsidRPr="003469C0">
        <w:rPr>
          <w:b/>
        </w:rPr>
        <w:t>.00 USD</w:t>
      </w:r>
      <w:r w:rsidRPr="003469C0">
        <w:rPr>
          <w:b/>
        </w:rPr>
        <w:tab/>
      </w:r>
      <w:r>
        <w:tab/>
      </w:r>
    </w:p>
    <w:p w14:paraId="1EEAB09C" w14:textId="6051B31A" w:rsidR="004F7627" w:rsidRPr="003469C0" w:rsidRDefault="004F7627" w:rsidP="00113FA8">
      <w:pPr>
        <w:ind w:left="851" w:hanging="425"/>
        <w:rPr>
          <w:i/>
        </w:rPr>
      </w:pPr>
      <w:r>
        <w:tab/>
      </w:r>
      <w:r w:rsidRPr="003469C0">
        <w:rPr>
          <w:i/>
        </w:rPr>
        <w:t>(In words: Forty-</w:t>
      </w:r>
      <w:r w:rsidR="00CC2A02">
        <w:rPr>
          <w:i/>
        </w:rPr>
        <w:t>five</w:t>
      </w:r>
      <w:r w:rsidRPr="003469C0">
        <w:rPr>
          <w:i/>
        </w:rPr>
        <w:t xml:space="preserve"> thousand </w:t>
      </w:r>
      <w:r w:rsidR="00CC2A02">
        <w:rPr>
          <w:i/>
        </w:rPr>
        <w:t>one</w:t>
      </w:r>
      <w:r w:rsidRPr="003469C0">
        <w:rPr>
          <w:i/>
        </w:rPr>
        <w:t xml:space="preserve"> hundred United States Dollars)</w:t>
      </w:r>
    </w:p>
    <w:tbl>
      <w:tblPr>
        <w:tblW w:w="8505" w:type="dxa"/>
        <w:tblInd w:w="137" w:type="dxa"/>
        <w:tbl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insideH w:val="single" w:sz="4" w:space="0" w:color="3B3838" w:themeColor="background2" w:themeShade="40"/>
          <w:insideV w:val="single" w:sz="4" w:space="0" w:color="3B3838" w:themeColor="background2" w:themeShade="40"/>
        </w:tblBorders>
        <w:tblLayout w:type="fixed"/>
        <w:tblLook w:val="04A0" w:firstRow="1" w:lastRow="0" w:firstColumn="1" w:lastColumn="0" w:noHBand="0" w:noVBand="1"/>
      </w:tblPr>
      <w:tblGrid>
        <w:gridCol w:w="1229"/>
        <w:gridCol w:w="3591"/>
        <w:gridCol w:w="1417"/>
        <w:gridCol w:w="2268"/>
      </w:tblGrid>
      <w:tr w:rsidR="003469C0" w14:paraId="31C778D4" w14:textId="77777777" w:rsidTr="007B646A">
        <w:trPr>
          <w:trHeight w:val="182"/>
        </w:trPr>
        <w:tc>
          <w:tcPr>
            <w:tcW w:w="1229"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3B3838" w:themeFill="background2" w:themeFillShade="40"/>
            <w:vAlign w:val="center"/>
            <w:hideMark/>
          </w:tcPr>
          <w:p w14:paraId="2E71F296" w14:textId="77777777" w:rsidR="003469C0" w:rsidRDefault="003469C0" w:rsidP="007B646A">
            <w:pPr>
              <w:autoSpaceDE w:val="0"/>
              <w:autoSpaceDN w:val="0"/>
              <w:adjustRightInd w:val="0"/>
              <w:spacing w:line="360" w:lineRule="auto"/>
              <w:ind w:left="34"/>
              <w:jc w:val="center"/>
              <w:rPr>
                <w:b/>
              </w:rPr>
            </w:pPr>
            <w:r>
              <w:rPr>
                <w:b/>
                <w:color w:val="FFFFFF" w:themeColor="background1"/>
                <w:lang w:val="en-GB"/>
              </w:rPr>
              <w:t>ITEM</w:t>
            </w:r>
          </w:p>
        </w:tc>
        <w:tc>
          <w:tcPr>
            <w:tcW w:w="3591"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3B3838" w:themeFill="background2" w:themeFillShade="40"/>
            <w:vAlign w:val="center"/>
            <w:hideMark/>
          </w:tcPr>
          <w:p w14:paraId="64743497" w14:textId="77777777" w:rsidR="003469C0" w:rsidRDefault="003469C0" w:rsidP="007B646A">
            <w:pPr>
              <w:autoSpaceDE w:val="0"/>
              <w:autoSpaceDN w:val="0"/>
              <w:adjustRightInd w:val="0"/>
              <w:spacing w:line="360" w:lineRule="auto"/>
              <w:ind w:left="34"/>
              <w:jc w:val="center"/>
              <w:rPr>
                <w:b/>
              </w:rPr>
            </w:pPr>
            <w:r>
              <w:rPr>
                <w:b/>
                <w:color w:val="FFFFFF" w:themeColor="background1"/>
                <w:lang w:val="en-GB"/>
              </w:rPr>
              <w:t>DESCRIPTION</w:t>
            </w:r>
          </w:p>
        </w:tc>
        <w:tc>
          <w:tcPr>
            <w:tcW w:w="1417"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3B3838" w:themeFill="background2" w:themeFillShade="40"/>
            <w:vAlign w:val="center"/>
          </w:tcPr>
          <w:p w14:paraId="5ABEC84B" w14:textId="688A6415" w:rsidR="003469C0" w:rsidRDefault="003469C0" w:rsidP="007B646A">
            <w:pPr>
              <w:autoSpaceDE w:val="0"/>
              <w:autoSpaceDN w:val="0"/>
              <w:adjustRightInd w:val="0"/>
              <w:spacing w:line="360" w:lineRule="auto"/>
              <w:ind w:left="851" w:hanging="534"/>
              <w:rPr>
                <w:b/>
                <w:color w:val="FFFFFF" w:themeColor="background1"/>
              </w:rPr>
            </w:pPr>
            <w:r>
              <w:rPr>
                <w:b/>
                <w:color w:val="FFFFFF" w:themeColor="background1"/>
              </w:rPr>
              <w:t>QTY</w:t>
            </w:r>
          </w:p>
        </w:tc>
        <w:tc>
          <w:tcPr>
            <w:tcW w:w="2268"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3B3838" w:themeFill="background2" w:themeFillShade="40"/>
            <w:vAlign w:val="center"/>
            <w:hideMark/>
          </w:tcPr>
          <w:p w14:paraId="5912655D" w14:textId="2C79E123" w:rsidR="003469C0" w:rsidRDefault="003469C0" w:rsidP="007B646A">
            <w:pPr>
              <w:autoSpaceDE w:val="0"/>
              <w:autoSpaceDN w:val="0"/>
              <w:adjustRightInd w:val="0"/>
              <w:spacing w:line="360" w:lineRule="auto"/>
              <w:rPr>
                <w:b/>
              </w:rPr>
            </w:pPr>
            <w:r>
              <w:rPr>
                <w:b/>
                <w:color w:val="FFFFFF" w:themeColor="background1"/>
              </w:rPr>
              <w:t xml:space="preserve">TOTAL COST </w:t>
            </w:r>
            <w:r>
              <w:rPr>
                <w:b/>
                <w:bCs/>
                <w:color w:val="FFFFFF" w:themeColor="background1"/>
                <w:lang w:val="vi-VN" w:eastAsia="vi-VN"/>
              </w:rPr>
              <w:t>(USD)</w:t>
            </w:r>
          </w:p>
        </w:tc>
      </w:tr>
      <w:tr w:rsidR="003469C0" w14:paraId="0B719A78" w14:textId="77777777" w:rsidTr="007B646A">
        <w:trPr>
          <w:trHeight w:val="567"/>
        </w:trPr>
        <w:tc>
          <w:tcPr>
            <w:tcW w:w="1229"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vAlign w:val="center"/>
            <w:hideMark/>
          </w:tcPr>
          <w:p w14:paraId="4C7320E6" w14:textId="77777777" w:rsidR="003469C0" w:rsidRDefault="003469C0" w:rsidP="007B646A">
            <w:pPr>
              <w:autoSpaceDE w:val="0"/>
              <w:autoSpaceDN w:val="0"/>
              <w:adjustRightInd w:val="0"/>
              <w:spacing w:line="360" w:lineRule="auto"/>
              <w:ind w:left="34"/>
              <w:jc w:val="center"/>
            </w:pPr>
            <w:r>
              <w:t>1</w:t>
            </w:r>
          </w:p>
        </w:tc>
        <w:tc>
          <w:tcPr>
            <w:tcW w:w="3591"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vAlign w:val="center"/>
            <w:hideMark/>
          </w:tcPr>
          <w:p w14:paraId="77C2071F" w14:textId="7BDA128C" w:rsidR="003469C0" w:rsidRDefault="003469C0" w:rsidP="00CC2A02">
            <w:pPr>
              <w:pStyle w:val="Normal1"/>
              <w:widowControl w:val="0"/>
              <w:spacing w:line="360" w:lineRule="auto"/>
              <w:ind w:left="34"/>
              <w:rPr>
                <w:sz w:val="22"/>
                <w:szCs w:val="22"/>
              </w:rPr>
            </w:pPr>
            <w:r>
              <w:rPr>
                <w:sz w:val="22"/>
                <w:szCs w:val="22"/>
              </w:rPr>
              <w:t xml:space="preserve">Software Package for </w:t>
            </w:r>
            <w:proofErr w:type="spellStart"/>
            <w:r w:rsidR="00CC2A02">
              <w:rPr>
                <w:sz w:val="22"/>
                <w:szCs w:val="22"/>
              </w:rPr>
              <w:t>CallBase</w:t>
            </w:r>
            <w:proofErr w:type="spellEnd"/>
            <w:r w:rsidR="00CC2A02">
              <w:rPr>
                <w:sz w:val="22"/>
                <w:szCs w:val="22"/>
              </w:rPr>
              <w:t xml:space="preserve"> System</w:t>
            </w:r>
          </w:p>
        </w:tc>
        <w:tc>
          <w:tcPr>
            <w:tcW w:w="1417"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vAlign w:val="center"/>
          </w:tcPr>
          <w:p w14:paraId="59095104" w14:textId="202E5FE9" w:rsidR="003469C0" w:rsidRDefault="003469C0" w:rsidP="007B646A">
            <w:pPr>
              <w:autoSpaceDE w:val="0"/>
              <w:autoSpaceDN w:val="0"/>
              <w:adjustRightInd w:val="0"/>
              <w:spacing w:line="360" w:lineRule="auto"/>
              <w:ind w:left="851" w:hanging="425"/>
              <w:rPr>
                <w:bCs/>
                <w:color w:val="000000"/>
                <w:lang w:val="es-PE" w:eastAsia="vi-VN"/>
              </w:rPr>
            </w:pPr>
            <w:r>
              <w:rPr>
                <w:bCs/>
                <w:color w:val="000000"/>
                <w:lang w:val="es-PE" w:eastAsia="vi-VN"/>
              </w:rPr>
              <w:t>01</w:t>
            </w:r>
          </w:p>
        </w:tc>
        <w:tc>
          <w:tcPr>
            <w:tcW w:w="2268"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vAlign w:val="center"/>
            <w:hideMark/>
          </w:tcPr>
          <w:p w14:paraId="69981BDB" w14:textId="2E67BA56" w:rsidR="003469C0" w:rsidRDefault="00CC2A02" w:rsidP="007B646A">
            <w:pPr>
              <w:autoSpaceDE w:val="0"/>
              <w:autoSpaceDN w:val="0"/>
              <w:adjustRightInd w:val="0"/>
              <w:spacing w:line="360" w:lineRule="auto"/>
              <w:ind w:left="851" w:hanging="425"/>
              <w:jc w:val="center"/>
              <w:rPr>
                <w:bCs/>
                <w:color w:val="000000"/>
                <w:lang w:val="es-PE" w:eastAsia="vi-VN"/>
              </w:rPr>
            </w:pPr>
            <w:r>
              <w:rPr>
                <w:bCs/>
                <w:color w:val="000000"/>
                <w:lang w:val="es-PE" w:eastAsia="vi-VN"/>
              </w:rPr>
              <w:t>45,000</w:t>
            </w:r>
            <w:r w:rsidR="003469C0">
              <w:rPr>
                <w:bCs/>
                <w:color w:val="000000"/>
                <w:lang w:val="es-PE" w:eastAsia="vi-VN"/>
              </w:rPr>
              <w:t>.00</w:t>
            </w:r>
          </w:p>
        </w:tc>
      </w:tr>
      <w:tr w:rsidR="003469C0" w14:paraId="44E057E7" w14:textId="77777777" w:rsidTr="007B646A">
        <w:trPr>
          <w:trHeight w:val="567"/>
        </w:trPr>
        <w:tc>
          <w:tcPr>
            <w:tcW w:w="1229"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vAlign w:val="center"/>
            <w:hideMark/>
          </w:tcPr>
          <w:p w14:paraId="203FB561" w14:textId="77777777" w:rsidR="003469C0" w:rsidRDefault="003469C0" w:rsidP="007B646A">
            <w:pPr>
              <w:autoSpaceDE w:val="0"/>
              <w:autoSpaceDN w:val="0"/>
              <w:adjustRightInd w:val="0"/>
              <w:spacing w:line="360" w:lineRule="auto"/>
              <w:ind w:left="34"/>
              <w:jc w:val="center"/>
            </w:pPr>
            <w:r>
              <w:t>2</w:t>
            </w:r>
          </w:p>
        </w:tc>
        <w:tc>
          <w:tcPr>
            <w:tcW w:w="3591"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vAlign w:val="center"/>
            <w:hideMark/>
          </w:tcPr>
          <w:p w14:paraId="471DFE2A" w14:textId="77777777" w:rsidR="003469C0" w:rsidRDefault="003469C0" w:rsidP="007B646A">
            <w:pPr>
              <w:pStyle w:val="Normal1"/>
              <w:widowControl w:val="0"/>
              <w:spacing w:line="360" w:lineRule="auto"/>
              <w:ind w:left="34"/>
              <w:rPr>
                <w:sz w:val="22"/>
                <w:szCs w:val="22"/>
              </w:rPr>
            </w:pPr>
            <w:r>
              <w:rPr>
                <w:sz w:val="22"/>
                <w:szCs w:val="22"/>
              </w:rPr>
              <w:t>CD Delivery</w:t>
            </w:r>
          </w:p>
        </w:tc>
        <w:tc>
          <w:tcPr>
            <w:tcW w:w="1417"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vAlign w:val="center"/>
          </w:tcPr>
          <w:p w14:paraId="261C0F91" w14:textId="2E221ECD" w:rsidR="003469C0" w:rsidRDefault="003469C0" w:rsidP="007B646A">
            <w:pPr>
              <w:autoSpaceDE w:val="0"/>
              <w:autoSpaceDN w:val="0"/>
              <w:adjustRightInd w:val="0"/>
              <w:spacing w:line="360" w:lineRule="auto"/>
              <w:ind w:left="851" w:hanging="425"/>
              <w:rPr>
                <w:bCs/>
                <w:color w:val="000000"/>
                <w:lang w:val="es-PE" w:eastAsia="vi-VN"/>
              </w:rPr>
            </w:pPr>
            <w:r>
              <w:rPr>
                <w:bCs/>
                <w:color w:val="000000"/>
                <w:lang w:val="es-PE" w:eastAsia="vi-VN"/>
              </w:rPr>
              <w:t>01</w:t>
            </w:r>
          </w:p>
        </w:tc>
        <w:tc>
          <w:tcPr>
            <w:tcW w:w="2268"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vAlign w:val="center"/>
            <w:hideMark/>
          </w:tcPr>
          <w:p w14:paraId="64AC6660" w14:textId="5575DFEB" w:rsidR="003469C0" w:rsidRDefault="003469C0" w:rsidP="007B646A">
            <w:pPr>
              <w:autoSpaceDE w:val="0"/>
              <w:autoSpaceDN w:val="0"/>
              <w:adjustRightInd w:val="0"/>
              <w:spacing w:line="360" w:lineRule="auto"/>
              <w:ind w:left="851" w:hanging="425"/>
              <w:jc w:val="center"/>
              <w:rPr>
                <w:bCs/>
                <w:color w:val="000000"/>
                <w:lang w:val="es-PE" w:eastAsia="vi-VN"/>
              </w:rPr>
            </w:pPr>
            <w:r>
              <w:rPr>
                <w:bCs/>
                <w:color w:val="000000"/>
                <w:lang w:val="es-PE" w:eastAsia="vi-VN"/>
              </w:rPr>
              <w:t>100.00</w:t>
            </w:r>
          </w:p>
        </w:tc>
      </w:tr>
      <w:tr w:rsidR="003469C0" w14:paraId="5639CCEF" w14:textId="77777777" w:rsidTr="007B646A">
        <w:trPr>
          <w:trHeight w:val="567"/>
        </w:trPr>
        <w:tc>
          <w:tcPr>
            <w:tcW w:w="6237" w:type="dxa"/>
            <w:gridSpan w:val="3"/>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F2F2F2" w:themeFill="background1" w:themeFillShade="F2"/>
            <w:vAlign w:val="center"/>
            <w:hideMark/>
          </w:tcPr>
          <w:p w14:paraId="6A08A40D" w14:textId="27D13413" w:rsidR="003469C0" w:rsidRDefault="003469C0" w:rsidP="007B646A">
            <w:pPr>
              <w:autoSpaceDE w:val="0"/>
              <w:autoSpaceDN w:val="0"/>
              <w:adjustRightInd w:val="0"/>
              <w:spacing w:line="360" w:lineRule="auto"/>
              <w:ind w:left="34"/>
              <w:jc w:val="left"/>
              <w:rPr>
                <w:b/>
                <w:bCs/>
                <w:color w:val="000000"/>
                <w:lang w:val="es-PE" w:eastAsia="vi-VN"/>
              </w:rPr>
            </w:pPr>
            <w:r>
              <w:rPr>
                <w:b/>
                <w:bCs/>
                <w:color w:val="000000"/>
                <w:lang w:val="vi-VN" w:eastAsia="vi-VN"/>
              </w:rPr>
              <w:t>TOTAL SOFTWARE PRICE</w:t>
            </w:r>
            <w:r>
              <w:rPr>
                <w:b/>
                <w:bCs/>
                <w:color w:val="000000"/>
                <w:lang w:eastAsia="vi-VN"/>
              </w:rPr>
              <w:t xml:space="preserve"> (USD)</w:t>
            </w:r>
          </w:p>
        </w:tc>
        <w:tc>
          <w:tcPr>
            <w:tcW w:w="2268"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F2F2F2" w:themeFill="background1" w:themeFillShade="F2"/>
            <w:vAlign w:val="center"/>
            <w:hideMark/>
          </w:tcPr>
          <w:p w14:paraId="230A1E51" w14:textId="0B8614FB" w:rsidR="003469C0" w:rsidRDefault="00CC2A02" w:rsidP="007B646A">
            <w:pPr>
              <w:autoSpaceDE w:val="0"/>
              <w:autoSpaceDN w:val="0"/>
              <w:adjustRightInd w:val="0"/>
              <w:spacing w:line="360" w:lineRule="auto"/>
              <w:ind w:left="851" w:hanging="425"/>
              <w:jc w:val="center"/>
            </w:pPr>
            <w:r>
              <w:rPr>
                <w:b/>
                <w:bCs/>
                <w:color w:val="000000"/>
                <w:lang w:val="es-PE" w:eastAsia="vi-VN"/>
              </w:rPr>
              <w:t>45,100</w:t>
            </w:r>
            <w:r w:rsidR="003469C0">
              <w:rPr>
                <w:b/>
                <w:bCs/>
                <w:color w:val="000000"/>
                <w:lang w:val="es-PE" w:eastAsia="vi-VN"/>
              </w:rPr>
              <w:t>.00</w:t>
            </w:r>
          </w:p>
        </w:tc>
      </w:tr>
    </w:tbl>
    <w:p w14:paraId="2CE6ED62" w14:textId="77777777" w:rsidR="004F7627" w:rsidRDefault="004F7627" w:rsidP="00113FA8">
      <w:pPr>
        <w:ind w:left="851" w:hanging="425"/>
      </w:pPr>
      <w:r>
        <w:t>United States Dollars shall be the currency of account and invoicing.</w:t>
      </w:r>
    </w:p>
    <w:p w14:paraId="74075D1D" w14:textId="2BC49217" w:rsidR="004F7627" w:rsidRDefault="00267095" w:rsidP="00113FA8">
      <w:pPr>
        <w:pStyle w:val="Heading2"/>
      </w:pPr>
      <w:r>
        <w:t>Taxes</w:t>
      </w:r>
    </w:p>
    <w:p w14:paraId="598C0C15" w14:textId="65AADAC0" w:rsidR="004F7627" w:rsidRDefault="00113FA8" w:rsidP="00113FA8">
      <w:pPr>
        <w:pStyle w:val="ListParagraph"/>
        <w:ind w:left="851" w:hanging="425"/>
      </w:pPr>
      <w:r>
        <w:t xml:space="preserve">        </w:t>
      </w:r>
      <w:r w:rsidR="004F7627">
        <w:t xml:space="preserve">Any Taxes applicable on the transaction contemplated under this Contract shall be borne by Viettel Peru S.A.C., however, any income tax imposed by the Government of the Republic of Perú or any Government Authority within Perú -in case if its applicable- relating to the provision of services by the Provider contemplated herein shall be borne by the Provider (Seller). </w:t>
      </w:r>
    </w:p>
    <w:p w14:paraId="794EC89B" w14:textId="0CF44CE5" w:rsidR="004F7627" w:rsidRPr="00DD3C78" w:rsidRDefault="00267095" w:rsidP="00113FA8">
      <w:pPr>
        <w:pStyle w:val="Heading2"/>
      </w:pPr>
      <w:r w:rsidRPr="00DD3C78">
        <w:t>Payment terms</w:t>
      </w:r>
    </w:p>
    <w:p w14:paraId="111C6FC0" w14:textId="653006D4" w:rsidR="00B601BB" w:rsidRPr="00DD3C78" w:rsidRDefault="00113FA8" w:rsidP="00B601BB">
      <w:pPr>
        <w:pStyle w:val="ListParagraph"/>
        <w:ind w:left="851" w:hanging="425"/>
      </w:pPr>
      <w:r w:rsidRPr="00DD3C78">
        <w:t xml:space="preserve">        </w:t>
      </w:r>
      <w:r w:rsidR="004F7627" w:rsidRPr="00DD3C78">
        <w:t xml:space="preserve">Contract Price: </w:t>
      </w:r>
      <w:r w:rsidR="00CC2A02" w:rsidRPr="00DD3C78">
        <w:rPr>
          <w:b/>
        </w:rPr>
        <w:t>45,100</w:t>
      </w:r>
      <w:r w:rsidR="004F7627" w:rsidRPr="00DD3C78">
        <w:rPr>
          <w:b/>
        </w:rPr>
        <w:t>.00USD</w:t>
      </w:r>
      <w:r w:rsidR="004F7627" w:rsidRPr="00DD3C78">
        <w:t xml:space="preserve"> (In words: Forty-</w:t>
      </w:r>
      <w:r w:rsidR="00CC2A02" w:rsidRPr="00DD3C78">
        <w:t>five</w:t>
      </w:r>
      <w:r w:rsidR="004F7627" w:rsidRPr="00DD3C78">
        <w:t xml:space="preserve"> thousand </w:t>
      </w:r>
      <w:r w:rsidR="00CC2A02" w:rsidRPr="00DD3C78">
        <w:t>one</w:t>
      </w:r>
      <w:r w:rsidR="004F7627" w:rsidRPr="00DD3C78">
        <w:t xml:space="preserve"> hundred United States Dollars./.) </w:t>
      </w:r>
    </w:p>
    <w:p w14:paraId="05F54267" w14:textId="378B373E" w:rsidR="00B601BB" w:rsidRPr="00DD3C78" w:rsidRDefault="00B601BB" w:rsidP="007C6FE2">
      <w:pPr>
        <w:pStyle w:val="ListParagraph"/>
        <w:ind w:left="851"/>
      </w:pPr>
      <w:r w:rsidRPr="00DD3C78">
        <w:t>The total Contract Price shall be paid to the Seller in two (02) instalments as below:</w:t>
      </w:r>
    </w:p>
    <w:p w14:paraId="40EF0733" w14:textId="608E9664" w:rsidR="00B601BB" w:rsidRPr="00DD3C78" w:rsidRDefault="00B601BB" w:rsidP="006C19E1">
      <w:pPr>
        <w:pStyle w:val="ListParagraph"/>
        <w:numPr>
          <w:ilvl w:val="0"/>
          <w:numId w:val="15"/>
        </w:numPr>
      </w:pPr>
      <w:r w:rsidRPr="00DD3C78">
        <w:rPr>
          <w:b/>
        </w:rPr>
        <w:t>First Payment:</w:t>
      </w:r>
      <w:r w:rsidRPr="00DD3C78">
        <w:t xml:space="preserve">  Seventy percent (</w:t>
      </w:r>
      <w:r w:rsidRPr="00DD3C78">
        <w:rPr>
          <w:lang w:val="vi-VN"/>
        </w:rPr>
        <w:t>70</w:t>
      </w:r>
      <w:r w:rsidRPr="00DD3C78">
        <w:t xml:space="preserve">%) of total Contract </w:t>
      </w:r>
      <w:r w:rsidR="00AB044D" w:rsidRPr="00DD3C78">
        <w:t xml:space="preserve">Price </w:t>
      </w:r>
      <w:r w:rsidRPr="00DD3C78">
        <w:t xml:space="preserve">shall be paid within 30 days from date of signing </w:t>
      </w:r>
      <w:r w:rsidR="004607A7" w:rsidRPr="00DD3C78">
        <w:t>Preliminary Acceptance Certificate (PAC)</w:t>
      </w:r>
      <w:r w:rsidRPr="00DD3C78">
        <w:t>.</w:t>
      </w:r>
    </w:p>
    <w:p w14:paraId="1D29011A" w14:textId="18A50CFB" w:rsidR="00B601BB" w:rsidRPr="00DD3C78" w:rsidRDefault="00B601BB" w:rsidP="006C19E1">
      <w:pPr>
        <w:pStyle w:val="ListParagraph"/>
        <w:numPr>
          <w:ilvl w:val="0"/>
          <w:numId w:val="15"/>
        </w:numPr>
      </w:pPr>
      <w:r w:rsidRPr="00DD3C78">
        <w:rPr>
          <w:b/>
          <w:bCs/>
        </w:rPr>
        <w:t>Second Payment:</w:t>
      </w:r>
      <w:r w:rsidRPr="00DD3C78">
        <w:t xml:space="preserve"> </w:t>
      </w:r>
      <w:r w:rsidR="00AB044D" w:rsidRPr="00DD3C78">
        <w:t>Thirty</w:t>
      </w:r>
      <w:r w:rsidRPr="00DD3C78">
        <w:t xml:space="preserve"> percent (</w:t>
      </w:r>
      <w:r w:rsidR="00AB044D" w:rsidRPr="00DD3C78">
        <w:rPr>
          <w:lang w:val="vi-VN"/>
        </w:rPr>
        <w:t>30</w:t>
      </w:r>
      <w:r w:rsidRPr="00DD3C78">
        <w:t xml:space="preserve">%) total Contract </w:t>
      </w:r>
      <w:r w:rsidR="00AB044D" w:rsidRPr="00DD3C78">
        <w:t xml:space="preserve">Price </w:t>
      </w:r>
      <w:r w:rsidRPr="00DD3C78">
        <w:t>shall be paid within 30 days from date of signing Final Acceptance Certificate</w:t>
      </w:r>
      <w:r w:rsidR="004607A7" w:rsidRPr="00DD3C78">
        <w:rPr>
          <w:lang w:val="vi-VN"/>
        </w:rPr>
        <w:t xml:space="preserve"> (FAC).</w:t>
      </w:r>
    </w:p>
    <w:p w14:paraId="6C381F86" w14:textId="084830EE" w:rsidR="004F7627" w:rsidRPr="00DD3C78" w:rsidRDefault="00267095" w:rsidP="00113FA8">
      <w:pPr>
        <w:pStyle w:val="Heading2"/>
      </w:pPr>
      <w:r w:rsidRPr="00DD3C78">
        <w:t>Banking Information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323"/>
        <w:gridCol w:w="4926"/>
      </w:tblGrid>
      <w:tr w:rsidR="00DD3C78" w:rsidRPr="00DD3C78" w14:paraId="4775396A" w14:textId="77777777" w:rsidTr="00263E74">
        <w:tc>
          <w:tcPr>
            <w:tcW w:w="2262" w:type="dxa"/>
            <w:hideMark/>
          </w:tcPr>
          <w:p w14:paraId="4FCCC74A" w14:textId="7218FA7C" w:rsidR="00267095" w:rsidRPr="00DD3C78" w:rsidRDefault="00267095" w:rsidP="00CF7FC6">
            <w:pPr>
              <w:ind w:left="33"/>
              <w:rPr>
                <w:b/>
              </w:rPr>
            </w:pPr>
            <w:r w:rsidRPr="00DD3C78">
              <w:rPr>
                <w:b/>
              </w:rPr>
              <w:t>Name of Beneficiary</w:t>
            </w:r>
          </w:p>
        </w:tc>
        <w:tc>
          <w:tcPr>
            <w:tcW w:w="323" w:type="dxa"/>
            <w:hideMark/>
          </w:tcPr>
          <w:p w14:paraId="7E064F80" w14:textId="77777777" w:rsidR="00267095" w:rsidRPr="00DD3C78" w:rsidRDefault="00267095" w:rsidP="00CF7FC6">
            <w:pPr>
              <w:ind w:left="33"/>
              <w:rPr>
                <w:b/>
              </w:rPr>
            </w:pPr>
            <w:r w:rsidRPr="00DD3C78">
              <w:rPr>
                <w:b/>
              </w:rPr>
              <w:t>:</w:t>
            </w:r>
          </w:p>
        </w:tc>
        <w:tc>
          <w:tcPr>
            <w:tcW w:w="4926" w:type="dxa"/>
            <w:hideMark/>
          </w:tcPr>
          <w:p w14:paraId="5324D7BC" w14:textId="0A9F34B6" w:rsidR="00267095" w:rsidRPr="00DD3C78" w:rsidRDefault="00BC6789" w:rsidP="00CF7FC6">
            <w:pPr>
              <w:ind w:left="33"/>
            </w:pPr>
            <w:r w:rsidRPr="00DD3C78">
              <w:t>ARABICA VIET NAM TECHNOLOGY APPLICATION JOINT STOCK COMPANY</w:t>
            </w:r>
          </w:p>
        </w:tc>
      </w:tr>
      <w:tr w:rsidR="00DD3C78" w:rsidRPr="00DD3C78" w14:paraId="32AB11F9" w14:textId="77777777" w:rsidTr="00263E74">
        <w:tc>
          <w:tcPr>
            <w:tcW w:w="2262" w:type="dxa"/>
          </w:tcPr>
          <w:p w14:paraId="23A819F2" w14:textId="37EE7CAA" w:rsidR="00263E74" w:rsidRPr="00DD3C78" w:rsidRDefault="00263E74" w:rsidP="00263E74">
            <w:pPr>
              <w:ind w:left="33"/>
              <w:rPr>
                <w:b/>
              </w:rPr>
            </w:pPr>
            <w:r w:rsidRPr="00DD3C78">
              <w:rPr>
                <w:b/>
              </w:rPr>
              <w:t>Address</w:t>
            </w:r>
          </w:p>
        </w:tc>
        <w:tc>
          <w:tcPr>
            <w:tcW w:w="323" w:type="dxa"/>
          </w:tcPr>
          <w:p w14:paraId="02F82E43" w14:textId="3E239632" w:rsidR="00263E74" w:rsidRPr="00DD3C78" w:rsidRDefault="00263E74" w:rsidP="00263E74">
            <w:pPr>
              <w:ind w:left="33"/>
              <w:rPr>
                <w:b/>
              </w:rPr>
            </w:pPr>
            <w:r w:rsidRPr="00DD3C78">
              <w:rPr>
                <w:b/>
              </w:rPr>
              <w:t>:</w:t>
            </w:r>
          </w:p>
        </w:tc>
        <w:tc>
          <w:tcPr>
            <w:tcW w:w="4926" w:type="dxa"/>
          </w:tcPr>
          <w:p w14:paraId="06136F8C" w14:textId="7645E0A4" w:rsidR="00263E74" w:rsidRPr="00DD3C78" w:rsidRDefault="00263E74" w:rsidP="00263E74">
            <w:pPr>
              <w:ind w:left="33"/>
            </w:pPr>
            <w:r w:rsidRPr="00DD3C78">
              <w:t>Floor 2, Number 2F, 200, Vinh Hung Street, Vinh Hung Ward, Hoang Mai District, Hanoi</w:t>
            </w:r>
          </w:p>
        </w:tc>
      </w:tr>
      <w:tr w:rsidR="00DD3C78" w:rsidRPr="00DD3C78" w14:paraId="78BCE4B2" w14:textId="77777777" w:rsidTr="00263E74">
        <w:tc>
          <w:tcPr>
            <w:tcW w:w="2262" w:type="dxa"/>
            <w:hideMark/>
          </w:tcPr>
          <w:p w14:paraId="7728637B" w14:textId="120A50A4" w:rsidR="00267095" w:rsidRPr="00DD3C78" w:rsidRDefault="00267095" w:rsidP="00CF7FC6">
            <w:pPr>
              <w:ind w:left="33"/>
              <w:rPr>
                <w:b/>
              </w:rPr>
            </w:pPr>
            <w:r w:rsidRPr="00DD3C78">
              <w:rPr>
                <w:b/>
              </w:rPr>
              <w:t>Name of Beneficiary’s Bank</w:t>
            </w:r>
          </w:p>
        </w:tc>
        <w:tc>
          <w:tcPr>
            <w:tcW w:w="323" w:type="dxa"/>
            <w:hideMark/>
          </w:tcPr>
          <w:p w14:paraId="637D6CED" w14:textId="77777777" w:rsidR="00267095" w:rsidRPr="00DD3C78" w:rsidRDefault="00267095" w:rsidP="00CF7FC6">
            <w:pPr>
              <w:ind w:left="33"/>
              <w:rPr>
                <w:b/>
              </w:rPr>
            </w:pPr>
            <w:r w:rsidRPr="00DD3C78">
              <w:rPr>
                <w:b/>
              </w:rPr>
              <w:t>:</w:t>
            </w:r>
          </w:p>
        </w:tc>
        <w:tc>
          <w:tcPr>
            <w:tcW w:w="4926" w:type="dxa"/>
            <w:hideMark/>
          </w:tcPr>
          <w:p w14:paraId="5DC8BB0E" w14:textId="04E7E840" w:rsidR="00267095" w:rsidRPr="00DD3C78" w:rsidRDefault="00BC6789" w:rsidP="00CF7FC6">
            <w:pPr>
              <w:ind w:left="33"/>
            </w:pPr>
            <w:r w:rsidRPr="00DD3C78">
              <w:t>Vietnam Technological And Commercial Joint Stock Bank – Thang Long Branch</w:t>
            </w:r>
          </w:p>
        </w:tc>
      </w:tr>
      <w:tr w:rsidR="00DD3C78" w:rsidRPr="00DD3C78" w14:paraId="7235BCCA" w14:textId="77777777" w:rsidTr="00263E74">
        <w:tc>
          <w:tcPr>
            <w:tcW w:w="2262" w:type="dxa"/>
            <w:hideMark/>
          </w:tcPr>
          <w:p w14:paraId="1204F15F" w14:textId="2D149156" w:rsidR="00267095" w:rsidRPr="00DD3C78" w:rsidRDefault="00267095" w:rsidP="00CF7FC6">
            <w:pPr>
              <w:ind w:left="33"/>
              <w:rPr>
                <w:b/>
              </w:rPr>
            </w:pPr>
            <w:r w:rsidRPr="00DD3C78">
              <w:rPr>
                <w:b/>
              </w:rPr>
              <w:t>Account No. (USD)</w:t>
            </w:r>
          </w:p>
        </w:tc>
        <w:tc>
          <w:tcPr>
            <w:tcW w:w="323" w:type="dxa"/>
            <w:hideMark/>
          </w:tcPr>
          <w:p w14:paraId="62AC8EBF" w14:textId="77777777" w:rsidR="00267095" w:rsidRPr="00DD3C78" w:rsidRDefault="00267095" w:rsidP="00CF7FC6">
            <w:pPr>
              <w:ind w:left="33"/>
              <w:rPr>
                <w:b/>
              </w:rPr>
            </w:pPr>
            <w:r w:rsidRPr="00DD3C78">
              <w:rPr>
                <w:b/>
              </w:rPr>
              <w:t>:</w:t>
            </w:r>
          </w:p>
        </w:tc>
        <w:tc>
          <w:tcPr>
            <w:tcW w:w="4926" w:type="dxa"/>
            <w:hideMark/>
          </w:tcPr>
          <w:p w14:paraId="10ED1470" w14:textId="6A8E05DD" w:rsidR="00267095" w:rsidRPr="00DD3C78" w:rsidRDefault="00BC6789" w:rsidP="00CF7FC6">
            <w:pPr>
              <w:ind w:left="33"/>
            </w:pPr>
            <w:r w:rsidRPr="00DD3C78">
              <w:t>19134129990020</w:t>
            </w:r>
          </w:p>
        </w:tc>
      </w:tr>
      <w:tr w:rsidR="00267095" w14:paraId="4CC7A546" w14:textId="77777777" w:rsidTr="00263E74">
        <w:trPr>
          <w:trHeight w:val="221"/>
        </w:trPr>
        <w:tc>
          <w:tcPr>
            <w:tcW w:w="2262" w:type="dxa"/>
            <w:hideMark/>
          </w:tcPr>
          <w:p w14:paraId="129882C1" w14:textId="5129E6FC" w:rsidR="00267095" w:rsidRPr="00ED07FB" w:rsidRDefault="00267095" w:rsidP="00CF7FC6">
            <w:pPr>
              <w:ind w:left="33"/>
              <w:rPr>
                <w:b/>
              </w:rPr>
            </w:pPr>
            <w:bookmarkStart w:id="3" w:name="_GoBack"/>
            <w:bookmarkEnd w:id="3"/>
            <w:r w:rsidRPr="00ED07FB">
              <w:rPr>
                <w:b/>
              </w:rPr>
              <w:lastRenderedPageBreak/>
              <w:t>SWIFT Code</w:t>
            </w:r>
          </w:p>
        </w:tc>
        <w:tc>
          <w:tcPr>
            <w:tcW w:w="323" w:type="dxa"/>
            <w:hideMark/>
          </w:tcPr>
          <w:p w14:paraId="7FDCD2D8" w14:textId="77777777" w:rsidR="00267095" w:rsidRPr="00ED07FB" w:rsidRDefault="00267095" w:rsidP="00CF7FC6">
            <w:pPr>
              <w:ind w:left="33"/>
              <w:rPr>
                <w:b/>
              </w:rPr>
            </w:pPr>
            <w:r w:rsidRPr="00ED07FB">
              <w:rPr>
                <w:b/>
              </w:rPr>
              <w:t>:</w:t>
            </w:r>
          </w:p>
        </w:tc>
        <w:tc>
          <w:tcPr>
            <w:tcW w:w="4926" w:type="dxa"/>
            <w:hideMark/>
          </w:tcPr>
          <w:p w14:paraId="5591932A" w14:textId="2BCBB087" w:rsidR="00267095" w:rsidRPr="00ED07FB" w:rsidRDefault="00BC6789" w:rsidP="00CF7FC6">
            <w:pPr>
              <w:ind w:left="33"/>
            </w:pPr>
            <w:r w:rsidRPr="00ED07FB">
              <w:t>VTCBVNVX</w:t>
            </w:r>
          </w:p>
        </w:tc>
      </w:tr>
    </w:tbl>
    <w:p w14:paraId="7678D548" w14:textId="41A4FB2A" w:rsidR="004F7627" w:rsidRDefault="00267095" w:rsidP="00113FA8">
      <w:pPr>
        <w:pStyle w:val="Heading2"/>
      </w:pPr>
      <w:r>
        <w:t>Overdue Payment</w:t>
      </w:r>
    </w:p>
    <w:p w14:paraId="149B187B" w14:textId="093FE944" w:rsidR="004F7627" w:rsidRDefault="004F7627" w:rsidP="00381FB3">
      <w:pPr>
        <w:pStyle w:val="ListParagraph"/>
      </w:pPr>
      <w:r>
        <w:t>Any overdue payment under this Contract shall carry an interest rate of one year two percent (2%) per annum for overdue amount and time, provided that the rate of interest shall not exceed five percent (5%) per annum.</w:t>
      </w:r>
    </w:p>
    <w:p w14:paraId="1D06DAC3" w14:textId="73E47ED6" w:rsidR="004F7627" w:rsidRDefault="004F7627" w:rsidP="00381FB3">
      <w:pPr>
        <w:pStyle w:val="ListParagraph"/>
      </w:pPr>
      <w:r>
        <w:t>A payment shall be deemed overdue when it is made exceeding such Payment Period.</w:t>
      </w:r>
    </w:p>
    <w:p w14:paraId="2B032789" w14:textId="1FE2CD3B" w:rsidR="004F7627" w:rsidRDefault="004F7627" w:rsidP="00381FB3">
      <w:pPr>
        <w:pStyle w:val="ListParagraph"/>
      </w:pPr>
      <w:r>
        <w:t>The overdue interest will be paid to the Seller within 30 days upon the Buyer’s receipt of written demand from the Seller.</w:t>
      </w:r>
    </w:p>
    <w:p w14:paraId="17ED0807" w14:textId="77777777" w:rsidR="004F7627" w:rsidRPr="007B646A" w:rsidRDefault="004F7627" w:rsidP="00113FA8">
      <w:pPr>
        <w:pStyle w:val="Heading1"/>
        <w:jc w:val="both"/>
        <w:rPr>
          <w:lang w:val="en-GB"/>
        </w:rPr>
      </w:pPr>
      <w:r w:rsidRPr="007B646A">
        <w:rPr>
          <w:lang w:val="en-GB"/>
        </w:rPr>
        <w:t xml:space="preserve">ARTICLE 6: </w:t>
      </w:r>
      <w:r w:rsidRPr="00CC2A02">
        <w:rPr>
          <w:lang w:val="en-GB"/>
        </w:rPr>
        <w:t>DELIVERY</w:t>
      </w:r>
    </w:p>
    <w:p w14:paraId="7B59A41F" w14:textId="033C232C" w:rsidR="004F7627" w:rsidRDefault="00267095" w:rsidP="00381FB3">
      <w:pPr>
        <w:pStyle w:val="ListParagraph"/>
        <w:ind w:left="851" w:hanging="425"/>
      </w:pPr>
      <w:r>
        <w:t xml:space="preserve">6.1. </w:t>
      </w:r>
      <w:r w:rsidR="004F7627">
        <w:t xml:space="preserve">The Seller shall complete the Software for the Buyer in two (02) months after signing the Contract. The Seller shall send the Software in a physical device (CD or others) as evidence of the finalization of the Software and shall also inform to the Buyer by email. </w:t>
      </w:r>
    </w:p>
    <w:p w14:paraId="38FA2037" w14:textId="351DFF17" w:rsidR="004F7627" w:rsidRDefault="00267095" w:rsidP="00381FB3">
      <w:pPr>
        <w:pStyle w:val="ListParagraph"/>
        <w:ind w:left="851" w:hanging="425"/>
      </w:pPr>
      <w:r>
        <w:t xml:space="preserve">6.2. </w:t>
      </w:r>
      <w:r w:rsidR="004F7627">
        <w:t>The Seller shall send the following shipping documents:</w:t>
      </w:r>
    </w:p>
    <w:p w14:paraId="6EB2A7A2" w14:textId="45AFB2A5" w:rsidR="004F7627" w:rsidRDefault="00267095" w:rsidP="00381FB3">
      <w:pPr>
        <w:pStyle w:val="ListParagraph"/>
        <w:ind w:left="851" w:hanging="425"/>
      </w:pPr>
      <w:r>
        <w:t xml:space="preserve">        </w:t>
      </w:r>
      <w:r w:rsidR="004F7627">
        <w:t xml:space="preserve">Airway Bill showing the consignee as VIETTEL PERU S.A.C., Address: Calle 21 N° 878, San Isidro, Lima – Peru; Tel: +511 2260919; Mr. Hoang Van Thang at his mobile phone: +51 930700068; Email: </w:t>
      </w:r>
      <w:r w:rsidR="004F7627" w:rsidRPr="00267095">
        <w:rPr>
          <w:color w:val="2E74B5" w:themeColor="accent1" w:themeShade="BF"/>
          <w:u w:val="single"/>
        </w:rPr>
        <w:t>thanghv4@viettel.com.vn</w:t>
      </w:r>
      <w:r w:rsidR="004F7627">
        <w:t>.</w:t>
      </w:r>
    </w:p>
    <w:p w14:paraId="56D5E0E5" w14:textId="5ACFEBDB" w:rsidR="004F7627" w:rsidRDefault="00267095" w:rsidP="00381FB3">
      <w:pPr>
        <w:pStyle w:val="ListParagraph"/>
        <w:ind w:left="851" w:hanging="425"/>
      </w:pPr>
      <w:r>
        <w:t xml:space="preserve">6.3. </w:t>
      </w:r>
      <w:r w:rsidR="004F7627">
        <w:t xml:space="preserve">Contact information for delivery schedule of the device: Mr. Hoang Van Thang, at his mobile phone: +51 930700068; Email: </w:t>
      </w:r>
      <w:r w:rsidR="004F7627" w:rsidRPr="00267095">
        <w:rPr>
          <w:color w:val="2E74B5" w:themeColor="accent1" w:themeShade="BF"/>
          <w:u w:val="single"/>
        </w:rPr>
        <w:t>thanghv4@viettel.com.vn</w:t>
      </w:r>
      <w:r w:rsidR="004F7627">
        <w:t>.</w:t>
      </w:r>
    </w:p>
    <w:p w14:paraId="66219285" w14:textId="75982196" w:rsidR="004F7627" w:rsidRDefault="00267095" w:rsidP="00381FB3">
      <w:pPr>
        <w:pStyle w:val="ListParagraph"/>
        <w:ind w:left="851" w:hanging="425"/>
      </w:pPr>
      <w:r>
        <w:t xml:space="preserve">6.4. </w:t>
      </w:r>
      <w:r w:rsidR="004F7627">
        <w:t>Goods information: for the purpose of importation by the Buyer with the correct information regarding brand name, model, country of origin, use or purpose and photo for Customs Declaration.</w:t>
      </w:r>
    </w:p>
    <w:p w14:paraId="4048FB39" w14:textId="41E69FE5" w:rsidR="004F7627" w:rsidRPr="00A501D6" w:rsidRDefault="004F7627" w:rsidP="00113FA8">
      <w:pPr>
        <w:pStyle w:val="Heading1"/>
        <w:jc w:val="both"/>
      </w:pPr>
      <w:r w:rsidRPr="00A501D6">
        <w:t>ARTICLE 7: TESTING AND ACCEPTANCE</w:t>
      </w:r>
    </w:p>
    <w:p w14:paraId="724981EF" w14:textId="77777777" w:rsidR="00CF7FC6" w:rsidRPr="00CF7FC6" w:rsidRDefault="00CF7FC6" w:rsidP="006C19E1">
      <w:pPr>
        <w:pStyle w:val="ListParagraph"/>
        <w:keepNext/>
        <w:keepLines/>
        <w:numPr>
          <w:ilvl w:val="0"/>
          <w:numId w:val="6"/>
        </w:numPr>
        <w:autoSpaceDE w:val="0"/>
        <w:autoSpaceDN w:val="0"/>
        <w:spacing w:before="280" w:after="240" w:line="240" w:lineRule="auto"/>
        <w:contextualSpacing w:val="0"/>
        <w:outlineLvl w:val="1"/>
        <w:rPr>
          <w:rFonts w:eastAsiaTheme="majorEastAsia"/>
          <w:b/>
          <w:bCs/>
          <w:vanish/>
          <w:lang w:val="es-PE" w:eastAsia="es-PE" w:bidi="es-PE"/>
        </w:rPr>
      </w:pPr>
    </w:p>
    <w:p w14:paraId="77BACBC5" w14:textId="77777777" w:rsidR="00CF7FC6" w:rsidRPr="00CF7FC6" w:rsidRDefault="00CF7FC6" w:rsidP="006C19E1">
      <w:pPr>
        <w:pStyle w:val="ListParagraph"/>
        <w:keepNext/>
        <w:keepLines/>
        <w:numPr>
          <w:ilvl w:val="0"/>
          <w:numId w:val="6"/>
        </w:numPr>
        <w:autoSpaceDE w:val="0"/>
        <w:autoSpaceDN w:val="0"/>
        <w:spacing w:before="280" w:after="240" w:line="240" w:lineRule="auto"/>
        <w:contextualSpacing w:val="0"/>
        <w:outlineLvl w:val="1"/>
        <w:rPr>
          <w:rFonts w:eastAsiaTheme="majorEastAsia"/>
          <w:b/>
          <w:bCs/>
          <w:vanish/>
          <w:lang w:val="es-PE" w:eastAsia="es-PE" w:bidi="es-PE"/>
        </w:rPr>
      </w:pPr>
    </w:p>
    <w:p w14:paraId="4ADA8708" w14:textId="0EBA9AFD" w:rsidR="004F7627" w:rsidRDefault="004F7627" w:rsidP="00113FA8">
      <w:pPr>
        <w:pStyle w:val="Heading2"/>
      </w:pPr>
      <w:r>
        <w:t>Hand Over Certificate (HOC</w:t>
      </w:r>
      <w:r w:rsidR="00A501D6">
        <w:t>)</w:t>
      </w:r>
    </w:p>
    <w:p w14:paraId="3C7B2921" w14:textId="77777777" w:rsidR="004F7627" w:rsidRDefault="004F7627" w:rsidP="00381FB3">
      <w:pPr>
        <w:pStyle w:val="ListParagraph"/>
      </w:pPr>
      <w:r>
        <w:t xml:space="preserve">Within seven (07) days from receipt of a notice from the Buyer informing that the hardware has been ready for the implementation, the Seller will assign experts/qualified technicians to support the software setup. </w:t>
      </w:r>
    </w:p>
    <w:p w14:paraId="5BE5AE0E" w14:textId="77777777" w:rsidR="004F7627" w:rsidRDefault="004F7627" w:rsidP="00381FB3">
      <w:pPr>
        <w:pStyle w:val="ListParagraph"/>
      </w:pPr>
      <w:r>
        <w:t>If the authorized technician and related personnel of the Buyer could access the software after the installation, both Parties shall sign a Handover Certificate within five (05) days after successful completion of testing.</w:t>
      </w:r>
    </w:p>
    <w:p w14:paraId="32B79960" w14:textId="5FE601E7" w:rsidR="004F7627" w:rsidRDefault="004F7627" w:rsidP="00113FA8">
      <w:pPr>
        <w:pStyle w:val="Heading2"/>
      </w:pPr>
      <w:r>
        <w:t>Prelimina</w:t>
      </w:r>
      <w:r w:rsidR="00A501D6">
        <w:t>ry Acceptance Certificate (PAC)</w:t>
      </w:r>
    </w:p>
    <w:p w14:paraId="4883B83D" w14:textId="77777777" w:rsidR="004F7627" w:rsidRDefault="004F7627" w:rsidP="00381FB3">
      <w:pPr>
        <w:pStyle w:val="ListParagraph"/>
      </w:pPr>
      <w:r>
        <w:t>After completion of software installation, both Parties will test all the functionalities/features of the Software in accordance with Annex 2 – List of system functions of the Contract. If the results of test running certify that the Software and the entire system are compliant with the Contract, technicians of both Parties will sign the Preliminary Acceptance Tests.</w:t>
      </w:r>
    </w:p>
    <w:p w14:paraId="003FD721" w14:textId="77777777" w:rsidR="004F7627" w:rsidRDefault="004F7627" w:rsidP="00381FB3">
      <w:pPr>
        <w:pStyle w:val="ListParagraph"/>
      </w:pPr>
      <w:r>
        <w:t>If the results of test running certify that the equipment and the entire system are compliant with the Contract, both Parties shall sign a Preliminary Acceptance Certificate after successful completion of testing.</w:t>
      </w:r>
    </w:p>
    <w:p w14:paraId="2C2CADBC" w14:textId="50B15372" w:rsidR="004F7627" w:rsidRDefault="004F7627" w:rsidP="00381FB3">
      <w:pPr>
        <w:pStyle w:val="ListParagraph"/>
      </w:pPr>
      <w:r>
        <w:lastRenderedPageBreak/>
        <w:t>In case the results of the acceptance tests do not comply with the requirements of the Buyer, the PAC will not be issued. The Buyer will communicate its observations, granting the Seller a final deadline of fifteen (15) calendar days for its correction</w:t>
      </w:r>
      <w:r w:rsidR="00CF7FC6">
        <w:t>.</w:t>
      </w:r>
    </w:p>
    <w:p w14:paraId="4A152B07" w14:textId="26B63867" w:rsidR="004F7627" w:rsidRDefault="004F7627" w:rsidP="00113FA8">
      <w:pPr>
        <w:pStyle w:val="Heading2"/>
      </w:pPr>
      <w:r>
        <w:t>Fin</w:t>
      </w:r>
      <w:r w:rsidR="00A501D6">
        <w:t>al Acceptance Certificate (FAC)</w:t>
      </w:r>
    </w:p>
    <w:p w14:paraId="29208A67" w14:textId="77777777" w:rsidR="004F7627" w:rsidRDefault="004F7627" w:rsidP="00381FB3">
      <w:pPr>
        <w:pStyle w:val="ListParagraph"/>
      </w:pPr>
      <w:r>
        <w:t>Once the Preliminary Acceptance Certificate is issued, the system will be put into trial run for a period of one (01) month from the signing date of the Preliminary Acceptance Certificate.</w:t>
      </w:r>
    </w:p>
    <w:p w14:paraId="606A699B" w14:textId="77777777" w:rsidR="004F7627" w:rsidRDefault="004F7627" w:rsidP="00381FB3">
      <w:pPr>
        <w:pStyle w:val="ListParagraph"/>
      </w:pPr>
      <w:r>
        <w:t>After the one (01) month of trial run, the Buyer shall test again the Software supplied under the Contract. The Seller with its own expense must remotely support the Buyer in testing the Software right after receiving a request from the Buyer.</w:t>
      </w:r>
    </w:p>
    <w:p w14:paraId="6D62577E" w14:textId="77777777" w:rsidR="004F7627" w:rsidRDefault="004F7627" w:rsidP="00381FB3">
      <w:pPr>
        <w:pStyle w:val="ListParagraph"/>
      </w:pPr>
      <w:r>
        <w:t>If the testing results indicate that the Software is not in compliance with the Contract, the Seller shall take responsibility as set out in Article 7.2.</w:t>
      </w:r>
    </w:p>
    <w:p w14:paraId="70C36419" w14:textId="77777777" w:rsidR="004F7627" w:rsidRDefault="004F7627" w:rsidP="00381FB3">
      <w:pPr>
        <w:pStyle w:val="ListParagraph"/>
      </w:pPr>
      <w:r>
        <w:t>If the results of test running certify that the Software and the entire system are compliant with the Contract, both Parties shall sign a Final Acceptance Certificate after the one (01) month of trial run.</w:t>
      </w:r>
    </w:p>
    <w:p w14:paraId="4FCDCB68" w14:textId="77777777" w:rsidR="004F7627" w:rsidRPr="00CF7FC6" w:rsidRDefault="004F7627" w:rsidP="00113FA8">
      <w:pPr>
        <w:pStyle w:val="Heading1"/>
        <w:jc w:val="both"/>
      </w:pPr>
      <w:r w:rsidRPr="00CF7FC6">
        <w:t>ARTICLE 8: WARRANTY AND TECHNICAL SUPPORT</w:t>
      </w:r>
    </w:p>
    <w:p w14:paraId="10DC42AC" w14:textId="77777777" w:rsidR="00CF7FC6" w:rsidRPr="00CF7FC6" w:rsidRDefault="00CF7FC6" w:rsidP="006C19E1">
      <w:pPr>
        <w:pStyle w:val="ListParagraph"/>
        <w:keepNext/>
        <w:keepLines/>
        <w:numPr>
          <w:ilvl w:val="0"/>
          <w:numId w:val="7"/>
        </w:numPr>
        <w:autoSpaceDE w:val="0"/>
        <w:autoSpaceDN w:val="0"/>
        <w:spacing w:before="280" w:after="240" w:line="240" w:lineRule="auto"/>
        <w:contextualSpacing w:val="0"/>
        <w:outlineLvl w:val="1"/>
        <w:rPr>
          <w:rFonts w:eastAsiaTheme="majorEastAsia"/>
          <w:b/>
          <w:bCs/>
          <w:vanish/>
          <w:lang w:val="es-PE" w:eastAsia="es-PE" w:bidi="es-PE"/>
        </w:rPr>
      </w:pPr>
    </w:p>
    <w:p w14:paraId="250142EE" w14:textId="75CE92A2" w:rsidR="004F7627" w:rsidRDefault="00CF7FC6" w:rsidP="00113FA8">
      <w:pPr>
        <w:pStyle w:val="Heading2"/>
      </w:pPr>
      <w:r>
        <w:t>Warranty</w:t>
      </w:r>
    </w:p>
    <w:p w14:paraId="3C715863" w14:textId="470B3B6F" w:rsidR="004F7627" w:rsidRDefault="004F7627" w:rsidP="00381FB3">
      <w:pPr>
        <w:pStyle w:val="ListParagraph"/>
      </w:pPr>
      <w:r>
        <w:t xml:space="preserve">The Seller commits to warrant the quality of the system and Software within </w:t>
      </w:r>
      <w:r w:rsidRPr="00CC2A02">
        <w:rPr>
          <w:highlight w:val="yellow"/>
        </w:rPr>
        <w:t>twelve (12)</w:t>
      </w:r>
      <w:r>
        <w:t xml:space="preserve"> months from the signing date of the Final Acceptance Certificate (FAC). </w:t>
      </w:r>
    </w:p>
    <w:p w14:paraId="5A7543A7" w14:textId="6E996EE2" w:rsidR="004F7627" w:rsidRDefault="004F7627" w:rsidP="00381FB3">
      <w:pPr>
        <w:pStyle w:val="ListParagraph"/>
      </w:pPr>
      <w:r>
        <w:t>The warranty includes fixing the system(s) developed by the Seller. The   Seller will take no responsibility for malfunctions caused by other program’s bugs, system software, OS software, network software and other reasons related to environments, operation, data or hardware defects.</w:t>
      </w:r>
    </w:p>
    <w:p w14:paraId="5FB15481" w14:textId="2D714CBB" w:rsidR="004F7627" w:rsidRDefault="00CF7FC6" w:rsidP="00113FA8">
      <w:pPr>
        <w:pStyle w:val="Heading2"/>
      </w:pPr>
      <w:r>
        <w:t>Technical support</w:t>
      </w:r>
    </w:p>
    <w:p w14:paraId="3103B5DA" w14:textId="77777777" w:rsidR="004F7627" w:rsidRDefault="004F7627" w:rsidP="00381FB3">
      <w:pPr>
        <w:pStyle w:val="ListParagraph"/>
      </w:pPr>
      <w:r>
        <w:t>The Seller commits to supply free-of-charge technical support, amendments arising from the changes in business models or methods during warranty period provided that these amendments will not adjust the structure or system implementation site.</w:t>
      </w:r>
    </w:p>
    <w:p w14:paraId="7C841F9B" w14:textId="77777777" w:rsidR="004F7627" w:rsidRPr="007B646A" w:rsidRDefault="004F7627" w:rsidP="00113FA8">
      <w:pPr>
        <w:pStyle w:val="Heading1"/>
        <w:jc w:val="both"/>
        <w:rPr>
          <w:lang w:val="en-GB"/>
        </w:rPr>
      </w:pPr>
      <w:r w:rsidRPr="007B646A">
        <w:rPr>
          <w:lang w:val="en-GB"/>
        </w:rPr>
        <w:t>ARTICLE 9: FORCE MAJEURE</w:t>
      </w:r>
    </w:p>
    <w:p w14:paraId="73BD81B4" w14:textId="6EA52348" w:rsidR="004F7627" w:rsidRDefault="004E6109" w:rsidP="00381FB3">
      <w:pPr>
        <w:pStyle w:val="ListParagraph"/>
        <w:ind w:left="851" w:hanging="425"/>
      </w:pPr>
      <w:r>
        <w:t xml:space="preserve">9.1. </w:t>
      </w:r>
      <w:r w:rsidR="004F7627">
        <w:t>All events or circumstances which are beyond the reasonable control of Buyer and/or Seller (the “Affected Party”), such as war, revolution, insurrection, hostilities, rebellion, riot, civil commotion, earthquake, flood or other natural disaster, fire, explosion, epidemic, strike, (other than those solely affecting the Affected Party) lockout or other industrial disturbance, blockade, congestion of harbors, delays in customs clearance (other than those delays caused by the Affected Party), etc. shall be considered as cases of Force Majeure.</w:t>
      </w:r>
    </w:p>
    <w:p w14:paraId="6E6CD98D" w14:textId="504767E2" w:rsidR="004F7627" w:rsidRDefault="004E6109" w:rsidP="00381FB3">
      <w:pPr>
        <w:pStyle w:val="ListParagraph"/>
        <w:ind w:left="851" w:hanging="425"/>
      </w:pPr>
      <w:r>
        <w:t xml:space="preserve">9.2. </w:t>
      </w:r>
      <w:r w:rsidR="004F7627">
        <w:t xml:space="preserve">In case of Force Majeure, the parties shall, within twenty (20) days from the date of occurrence/ending of the cause, advise each other of the nature thereof. In this case, the time stipulated for the performance of the obligations should be extended as agreed by both parties. Notwithstanding the foregoing, neither party shall be excused by reason of </w:t>
      </w:r>
      <w:r w:rsidR="004F7627">
        <w:lastRenderedPageBreak/>
        <w:t>Force Majeure from any obligation to pay money/deliver products when due hereunder. Should Force Majeure lasts for more than one (01) month, the terms and conditions of the Contract shall be reasonably reviewed and amicably agreed by both parties.</w:t>
      </w:r>
    </w:p>
    <w:p w14:paraId="7A29528D" w14:textId="1D00067B" w:rsidR="004F7627" w:rsidRPr="007B646A" w:rsidRDefault="004F7627" w:rsidP="00113FA8">
      <w:pPr>
        <w:pStyle w:val="Heading1"/>
        <w:jc w:val="both"/>
        <w:rPr>
          <w:lang w:val="en-GB"/>
        </w:rPr>
      </w:pPr>
      <w:r w:rsidRPr="007B646A">
        <w:rPr>
          <w:lang w:val="en-GB"/>
        </w:rPr>
        <w:t>ARTICLE 10: PENALTIES</w:t>
      </w:r>
    </w:p>
    <w:p w14:paraId="1E50E55C" w14:textId="084DE466" w:rsidR="004F7627" w:rsidRDefault="004E6109" w:rsidP="00381FB3">
      <w:pPr>
        <w:pStyle w:val="ListParagraph"/>
        <w:ind w:left="851" w:hanging="425"/>
      </w:pPr>
      <w:r>
        <w:t xml:space="preserve">10.1. </w:t>
      </w:r>
      <w:r w:rsidR="004F7627">
        <w:t xml:space="preserve">In case of delay in deliveries of products and/or service implementation as set out in Article 4; 7.1, 7.2 and 7.3 the Buyer may claim a compensation for liquidated damages of zero point one percent (0.1%) per delayed day(s) up to a maximum ten percent (10%) on the value of the delayed products and services and the products. </w:t>
      </w:r>
    </w:p>
    <w:p w14:paraId="207BB0E6" w14:textId="2F3FD2C8" w:rsidR="004F7627" w:rsidRDefault="004E6109" w:rsidP="00381FB3">
      <w:pPr>
        <w:pStyle w:val="ListParagraph"/>
        <w:ind w:left="851" w:hanging="425"/>
      </w:pPr>
      <w:r>
        <w:t xml:space="preserve">10.2. </w:t>
      </w:r>
      <w:r w:rsidR="004F7627">
        <w:t>If one Party cancels the Contract without the written acceptance of the remaining Party, that Party shall pay the penalty equal to five percent (05%) of total damaged Contract Value.</w:t>
      </w:r>
    </w:p>
    <w:p w14:paraId="443E1D0E" w14:textId="38FFBA1B" w:rsidR="004F7627" w:rsidRDefault="004E6109" w:rsidP="00381FB3">
      <w:pPr>
        <w:pStyle w:val="ListParagraph"/>
        <w:ind w:left="851" w:hanging="425"/>
      </w:pPr>
      <w:r>
        <w:t xml:space="preserve">10.3. </w:t>
      </w:r>
      <w:r w:rsidR="004F7627">
        <w:t>In case repairing/ supplement period exceeds fifteen (15) days and/or the warranty time of the Seller exceeds thirty (30) days, the Seller shall indemnify the Buyer as set out in Article 10.1.</w:t>
      </w:r>
    </w:p>
    <w:p w14:paraId="1DED7017" w14:textId="3FA41045" w:rsidR="004F7627" w:rsidRDefault="00381FB3" w:rsidP="00381FB3">
      <w:pPr>
        <w:pStyle w:val="ListParagraph"/>
        <w:ind w:left="851" w:hanging="425"/>
      </w:pPr>
      <w:r>
        <w:t xml:space="preserve">10.4. </w:t>
      </w:r>
      <w:r w:rsidR="004F7627">
        <w:t>Any other circumstances defined in this Contract (if any).</w:t>
      </w:r>
    </w:p>
    <w:p w14:paraId="3126783B" w14:textId="77777777" w:rsidR="004F7627" w:rsidRPr="00113FA8" w:rsidRDefault="004F7627" w:rsidP="00113FA8">
      <w:pPr>
        <w:pStyle w:val="Heading1"/>
        <w:jc w:val="both"/>
        <w:rPr>
          <w:lang w:val="en-GB"/>
        </w:rPr>
      </w:pPr>
      <w:r w:rsidRPr="00113FA8">
        <w:rPr>
          <w:lang w:val="en-GB"/>
        </w:rPr>
        <w:t>ARTICLE 11: DEDUCT ON THE PAYMENT FOR THE SELLER</w:t>
      </w:r>
    </w:p>
    <w:p w14:paraId="2BDF4F32" w14:textId="7B37639E" w:rsidR="004F7627" w:rsidRDefault="00381FB3" w:rsidP="00381FB3">
      <w:pPr>
        <w:pStyle w:val="ListParagraph"/>
        <w:ind w:left="851" w:hanging="425"/>
      </w:pPr>
      <w:r>
        <w:t xml:space="preserve">11.1. </w:t>
      </w:r>
      <w:r w:rsidR="004F7627">
        <w:t>The following penalties and expenses could be deducted on the payment amount that the Buyer shall pay to the Seller.</w:t>
      </w:r>
    </w:p>
    <w:p w14:paraId="30EDE9E3" w14:textId="722276F0" w:rsidR="004F7627" w:rsidRDefault="004F7627" w:rsidP="006C19E1">
      <w:pPr>
        <w:pStyle w:val="ListParagraph"/>
        <w:numPr>
          <w:ilvl w:val="0"/>
          <w:numId w:val="8"/>
        </w:numPr>
      </w:pPr>
      <w:r>
        <w:t>Penalties amount as set out in Article 10.1; 10.2; 10.3; 10.4</w:t>
      </w:r>
    </w:p>
    <w:p w14:paraId="32327033" w14:textId="2F39C37C" w:rsidR="004F7627" w:rsidRDefault="004F7627" w:rsidP="006C19E1">
      <w:pPr>
        <w:pStyle w:val="ListParagraph"/>
        <w:numPr>
          <w:ilvl w:val="0"/>
          <w:numId w:val="8"/>
        </w:numPr>
      </w:pPr>
      <w:r>
        <w:t>Other circumstances as defined in this Contract (if any).</w:t>
      </w:r>
    </w:p>
    <w:p w14:paraId="2F7CC100" w14:textId="77777777" w:rsidR="004F7627" w:rsidRPr="007B646A" w:rsidRDefault="004F7627" w:rsidP="00113FA8">
      <w:pPr>
        <w:pStyle w:val="Heading1"/>
        <w:jc w:val="both"/>
        <w:rPr>
          <w:lang w:val="en-GB"/>
        </w:rPr>
      </w:pPr>
      <w:r w:rsidRPr="007B646A">
        <w:rPr>
          <w:lang w:val="en-GB"/>
        </w:rPr>
        <w:t>ARTICLE 12: COPYRIGHT</w:t>
      </w:r>
    </w:p>
    <w:p w14:paraId="6004D86B" w14:textId="7F14B19D" w:rsidR="004F7627" w:rsidRDefault="004F7627" w:rsidP="00381FB3">
      <w:pPr>
        <w:pStyle w:val="ListParagraph"/>
        <w:ind w:left="851" w:hanging="425"/>
      </w:pPr>
      <w:r>
        <w:t>1</w:t>
      </w:r>
      <w:r w:rsidR="00381FB3">
        <w:t xml:space="preserve">2.1. </w:t>
      </w:r>
      <w:r>
        <w:t xml:space="preserve">If a third party rightfully raises claims due to infringement of intellectual property right effective in Peru and/or other contract by the Equipment, the Seller shall at its option and costs, and excluding further liability, either get a license from the third party or modify the infringing parts or substitute these parts for non-infringing parts or take back the Equipment concerned against the reimbursement of the respective costs and charges. </w:t>
      </w:r>
    </w:p>
    <w:p w14:paraId="5DB42712" w14:textId="7698C870" w:rsidR="004F7627" w:rsidRDefault="00381FB3" w:rsidP="00381FB3">
      <w:pPr>
        <w:pStyle w:val="ListParagraph"/>
        <w:ind w:left="851" w:hanging="425"/>
      </w:pPr>
      <w:r>
        <w:t xml:space="preserve">12.2. </w:t>
      </w:r>
      <w:r w:rsidR="004F7627">
        <w:t>The Buyer shall inform the Seller promptly if a third party raises a claim whether directly or indirectly against the Seller alleging infringement of intellectual property right effective in Peru. In accordance with any reasonable request from the Seller, and to the extent so requested, the Buyer shall support the Seller’s defense of any such third party claims, and the Seller shall fully reimburse the Buyer for reasonable expenses arising there from. The Seller shall compensate the Buyer for losses due to any such infringement of intellectual property right effective in Peru.</w:t>
      </w:r>
    </w:p>
    <w:p w14:paraId="634BD379" w14:textId="7F45A601" w:rsidR="004F7627" w:rsidRDefault="00381FB3" w:rsidP="00381FB3">
      <w:pPr>
        <w:pStyle w:val="ListParagraph"/>
        <w:ind w:left="851" w:hanging="425"/>
      </w:pPr>
      <w:r>
        <w:t>12.3.</w:t>
      </w:r>
      <w:r w:rsidR="004F7627">
        <w:t xml:space="preserve"> The seller will transfer the intellectual property rights to VIETTEL.</w:t>
      </w:r>
    </w:p>
    <w:p w14:paraId="722E4208" w14:textId="77777777" w:rsidR="004F7627" w:rsidRPr="007B646A" w:rsidRDefault="004F7627" w:rsidP="00113FA8">
      <w:pPr>
        <w:pStyle w:val="Heading1"/>
        <w:jc w:val="both"/>
        <w:rPr>
          <w:lang w:val="en-GB"/>
        </w:rPr>
      </w:pPr>
      <w:r w:rsidRPr="007B646A">
        <w:rPr>
          <w:lang w:val="en-GB"/>
        </w:rPr>
        <w:t>ARTICLE 13: CANCELLATION OF CONTRACT</w:t>
      </w:r>
    </w:p>
    <w:p w14:paraId="73A81487" w14:textId="2EA7CE5C" w:rsidR="004F7627" w:rsidRDefault="004F7627" w:rsidP="00381FB3">
      <w:pPr>
        <w:pStyle w:val="ListParagraph"/>
        <w:ind w:left="851" w:hanging="425"/>
      </w:pPr>
      <w:r>
        <w:t>1</w:t>
      </w:r>
      <w:r w:rsidR="00381FB3">
        <w:t xml:space="preserve">3.1. </w:t>
      </w:r>
      <w:r>
        <w:t>The Contract may be cancelled in following cases:</w:t>
      </w:r>
    </w:p>
    <w:p w14:paraId="12288757" w14:textId="364901C2" w:rsidR="004F7627" w:rsidRDefault="004F7627" w:rsidP="006C19E1">
      <w:pPr>
        <w:pStyle w:val="ListParagraph"/>
        <w:numPr>
          <w:ilvl w:val="0"/>
          <w:numId w:val="9"/>
        </w:numPr>
      </w:pPr>
      <w:r>
        <w:t>As mutually agreed by both parties before Contract come into force.</w:t>
      </w:r>
    </w:p>
    <w:p w14:paraId="37DCD7AB" w14:textId="29D54040" w:rsidR="004F7627" w:rsidRDefault="004F7627" w:rsidP="006C19E1">
      <w:pPr>
        <w:pStyle w:val="ListParagraph"/>
        <w:numPr>
          <w:ilvl w:val="0"/>
          <w:numId w:val="9"/>
        </w:numPr>
      </w:pPr>
      <w:r>
        <w:t xml:space="preserve">Either Party commits a breach of any material obligation under this Contract and in </w:t>
      </w:r>
      <w:r>
        <w:lastRenderedPageBreak/>
        <w:t>the case of a remediable breach, fails to remedy such breach after receiving ten (10) days written notice to do so from the other Party;</w:t>
      </w:r>
    </w:p>
    <w:p w14:paraId="2E4A8467" w14:textId="750EA9BE" w:rsidR="004F7627" w:rsidRDefault="004F7627" w:rsidP="006C19E1">
      <w:pPr>
        <w:pStyle w:val="ListParagraph"/>
        <w:numPr>
          <w:ilvl w:val="0"/>
          <w:numId w:val="9"/>
        </w:numPr>
      </w:pPr>
      <w:r>
        <w:t>Either Party is liquidated, dissolved, in bankruptcy or applies for bankruptcy, or its operation is suspended;</w:t>
      </w:r>
    </w:p>
    <w:p w14:paraId="7BC62F9E" w14:textId="4E92DDB3" w:rsidR="004F7627" w:rsidRDefault="004F7627" w:rsidP="006C19E1">
      <w:pPr>
        <w:pStyle w:val="ListParagraph"/>
        <w:numPr>
          <w:ilvl w:val="0"/>
          <w:numId w:val="9"/>
        </w:numPr>
      </w:pPr>
      <w:r>
        <w:t>Other circumstances as stipulated in this Contract.</w:t>
      </w:r>
    </w:p>
    <w:p w14:paraId="7D1DB62F" w14:textId="1F9BC7B4" w:rsidR="004F7627" w:rsidRDefault="00381FB3" w:rsidP="00381FB3">
      <w:pPr>
        <w:pStyle w:val="ListParagraph"/>
        <w:ind w:left="851" w:hanging="425"/>
      </w:pPr>
      <w:r>
        <w:t xml:space="preserve">13.2. </w:t>
      </w:r>
      <w:r w:rsidR="004F7627">
        <w:t>In the event of cancellation or termination of this Contract due to the default of a Party (the “Defaulting Party”), the Defaulting Party shall pay the other Party a penalty of five percent (5%) of the total value of the Contract. And the Seller shall refund all amounts that the Buyer has paid to the Seller.</w:t>
      </w:r>
    </w:p>
    <w:p w14:paraId="5E0CF90F" w14:textId="77777777" w:rsidR="004F7627" w:rsidRPr="00113FA8" w:rsidRDefault="004F7627" w:rsidP="00113FA8">
      <w:pPr>
        <w:pStyle w:val="Heading1"/>
        <w:jc w:val="both"/>
        <w:rPr>
          <w:lang w:val="en-GB"/>
        </w:rPr>
      </w:pPr>
      <w:r w:rsidRPr="00113FA8">
        <w:rPr>
          <w:lang w:val="en-GB"/>
        </w:rPr>
        <w:t>ARTICLE 14: LAW GOVERNING AND DISPUTE RESOLUTION</w:t>
      </w:r>
    </w:p>
    <w:p w14:paraId="32BBA25F" w14:textId="39C32C34" w:rsidR="004F7627" w:rsidRDefault="00381FB3" w:rsidP="00381FB3">
      <w:pPr>
        <w:pStyle w:val="ListParagraph"/>
        <w:ind w:left="851" w:hanging="425"/>
      </w:pPr>
      <w:r>
        <w:rPr>
          <w:lang w:val="en-GB"/>
        </w:rPr>
        <w:t xml:space="preserve">14.1. </w:t>
      </w:r>
      <w:r w:rsidR="004F7627">
        <w:t xml:space="preserve">The Law applied for the Contract shall be the laws of Peru. </w:t>
      </w:r>
    </w:p>
    <w:p w14:paraId="6350DBE5" w14:textId="0F83A168" w:rsidR="004F7627" w:rsidRDefault="00381FB3" w:rsidP="00381FB3">
      <w:pPr>
        <w:pStyle w:val="ListParagraph"/>
        <w:ind w:left="851" w:hanging="425"/>
      </w:pPr>
      <w:r>
        <w:t xml:space="preserve">14.2. </w:t>
      </w:r>
      <w:r w:rsidR="004F7627">
        <w:t xml:space="preserve">Any dispute or discrepancies in connection with this Contract which cannot be settled amicably between the Parties shall be settled by the Courts of District of Lima, Peru. </w:t>
      </w:r>
    </w:p>
    <w:p w14:paraId="0DE2C964" w14:textId="57234F1A" w:rsidR="004F7627" w:rsidRPr="007B646A" w:rsidRDefault="004F7627" w:rsidP="00113FA8">
      <w:pPr>
        <w:pStyle w:val="Heading1"/>
        <w:jc w:val="both"/>
        <w:rPr>
          <w:lang w:val="en-GB"/>
        </w:rPr>
      </w:pPr>
      <w:r w:rsidRPr="007B646A">
        <w:rPr>
          <w:lang w:val="en-GB"/>
        </w:rPr>
        <w:t>ARTICLE 15: CONFIDENTIALITY</w:t>
      </w:r>
    </w:p>
    <w:p w14:paraId="5054B601" w14:textId="1F323E8C" w:rsidR="004F7627" w:rsidRDefault="00381FB3" w:rsidP="00381FB3">
      <w:pPr>
        <w:pStyle w:val="ListParagraph"/>
        <w:ind w:left="851" w:hanging="425"/>
      </w:pPr>
      <w:r>
        <w:t xml:space="preserve">15.1. </w:t>
      </w:r>
      <w:r w:rsidR="004F7627">
        <w:t>Both Parties shall treat as confidential all information relating to this Contract including but not limited to purposes, contents, specifications, drawings, blue prints, nomenclatures, software, models, unless prior written consent to divulge the same has been obtained and such divulgation is useful for implementation of the Contract. This shall not apply to information that has rightfully become public knowledge and to the record of supply of the Seller which serves the Seller to promote its sales activities world-wide</w:t>
      </w:r>
      <w:r>
        <w:t>.</w:t>
      </w:r>
    </w:p>
    <w:p w14:paraId="41EB36DE" w14:textId="77777777" w:rsidR="004F7627" w:rsidRPr="007B646A" w:rsidRDefault="004F7627" w:rsidP="00113FA8">
      <w:pPr>
        <w:pStyle w:val="Heading1"/>
        <w:jc w:val="both"/>
        <w:rPr>
          <w:lang w:val="en-GB"/>
        </w:rPr>
      </w:pPr>
      <w:r w:rsidRPr="007B646A">
        <w:rPr>
          <w:lang w:val="en-GB"/>
        </w:rPr>
        <w:t>ARTICLE 16: GENERAL CONDITIONS</w:t>
      </w:r>
    </w:p>
    <w:p w14:paraId="77A4B6DD" w14:textId="241F5417" w:rsidR="004F7627" w:rsidRDefault="004F7627" w:rsidP="00381FB3">
      <w:pPr>
        <w:pStyle w:val="ListParagraph"/>
        <w:ind w:left="851" w:hanging="425"/>
      </w:pPr>
      <w:r>
        <w:t>1</w:t>
      </w:r>
      <w:r w:rsidR="00381FB3">
        <w:t xml:space="preserve">6.1. </w:t>
      </w:r>
      <w:r>
        <w:t>This Contract shall come into effect from the signing date of the Contract.</w:t>
      </w:r>
    </w:p>
    <w:p w14:paraId="050842C9" w14:textId="007852CB" w:rsidR="004F7627" w:rsidRDefault="00381FB3" w:rsidP="00381FB3">
      <w:pPr>
        <w:pStyle w:val="ListParagraph"/>
        <w:ind w:left="851" w:hanging="425"/>
      </w:pPr>
      <w:r>
        <w:t xml:space="preserve">16.2. </w:t>
      </w:r>
      <w:r w:rsidR="004F7627">
        <w:t>All alterations and amendments to this contract will be valid only after confirmation in written text by both Parties.</w:t>
      </w:r>
    </w:p>
    <w:p w14:paraId="28F6CE4C" w14:textId="4327ECB0" w:rsidR="004F7627" w:rsidRDefault="00381FB3" w:rsidP="00381FB3">
      <w:pPr>
        <w:pStyle w:val="ListParagraph"/>
        <w:ind w:left="851" w:hanging="425"/>
      </w:pPr>
      <w:r>
        <w:t xml:space="preserve">16.3. </w:t>
      </w:r>
      <w:r w:rsidR="004F7627">
        <w:t>In the event any one or more of the provisions of this Contract is held to be void or unenforceable or illegal under the applicable law, such void or unenforceability or illegality shall not affect any other provision of this Contract.</w:t>
      </w:r>
    </w:p>
    <w:p w14:paraId="1F54F2B5" w14:textId="1308AE58" w:rsidR="004F7627" w:rsidRDefault="00381FB3" w:rsidP="00381FB3">
      <w:pPr>
        <w:pStyle w:val="ListParagraph"/>
        <w:ind w:left="851" w:hanging="425"/>
      </w:pPr>
      <w:r>
        <w:t xml:space="preserve">16.4. </w:t>
      </w:r>
      <w:r w:rsidR="004F7627">
        <w:t>No delay on the part of either Party in exercising any of its right hereunder or failure to exercise the same, nor the acquiescence or knowledge thereto shall operate as a release or waiver except in the specific instance for which is expressly given. None of the terms, conditions or provisions of this Contract shall be held to have been changed, waived, varied, modified or altered by any act or knowledge of either party, their respective agents, servants or employees.</w:t>
      </w:r>
    </w:p>
    <w:p w14:paraId="18EFCCF8" w14:textId="7AA2D7DF" w:rsidR="004F7627" w:rsidRDefault="00381FB3" w:rsidP="00381FB3">
      <w:pPr>
        <w:pStyle w:val="ListParagraph"/>
        <w:ind w:left="851" w:hanging="425"/>
      </w:pPr>
      <w:r>
        <w:t xml:space="preserve">16.5. </w:t>
      </w:r>
      <w:r w:rsidR="004F7627">
        <w:t xml:space="preserve">If there is any discrepancy exists between this Contract and the following documents, the provisions of this Contract and the following documents shall prevail in the following priority: </w:t>
      </w:r>
    </w:p>
    <w:p w14:paraId="4296F6F2" w14:textId="544082C4" w:rsidR="004F7627" w:rsidRDefault="004F7627" w:rsidP="006C19E1">
      <w:pPr>
        <w:pStyle w:val="ListParagraph"/>
        <w:numPr>
          <w:ilvl w:val="0"/>
          <w:numId w:val="10"/>
        </w:numPr>
      </w:pPr>
      <w:r>
        <w:t>This Contract;</w:t>
      </w:r>
    </w:p>
    <w:p w14:paraId="348C8C3D" w14:textId="49E583AD" w:rsidR="004F7627" w:rsidRDefault="004F7627" w:rsidP="006C19E1">
      <w:pPr>
        <w:pStyle w:val="ListParagraph"/>
        <w:numPr>
          <w:ilvl w:val="0"/>
          <w:numId w:val="10"/>
        </w:numPr>
      </w:pPr>
      <w:r>
        <w:t>The Annexes of this Contract.</w:t>
      </w:r>
    </w:p>
    <w:p w14:paraId="0EECD056" w14:textId="2548F7AD" w:rsidR="004F7627" w:rsidRDefault="00381FB3" w:rsidP="00381FB3">
      <w:pPr>
        <w:pStyle w:val="ListParagraph"/>
        <w:ind w:left="851" w:hanging="425"/>
      </w:pPr>
      <w:r>
        <w:t xml:space="preserve">        </w:t>
      </w:r>
      <w:r w:rsidR="004F7627">
        <w:t xml:space="preserve">This Contract, which constitutes sixteen (16) articles and two (02) annexes, has been made in two (02) originals of the same legal value. The Buyer will keep one (01) original </w:t>
      </w:r>
      <w:r w:rsidR="004F7627">
        <w:lastRenderedPageBreak/>
        <w:t>and the Seller will keep one (01) original.</w:t>
      </w:r>
    </w:p>
    <w:tbl>
      <w:tblPr>
        <w:tblW w:w="9072" w:type="dxa"/>
        <w:tblInd w:w="-6" w:type="dxa"/>
        <w:tblLayout w:type="fixed"/>
        <w:tblLook w:val="0000" w:firstRow="0" w:lastRow="0" w:firstColumn="0" w:lastColumn="0" w:noHBand="0" w:noVBand="0"/>
      </w:tblPr>
      <w:tblGrid>
        <w:gridCol w:w="4734"/>
        <w:gridCol w:w="4338"/>
      </w:tblGrid>
      <w:tr w:rsidR="004F7627" w:rsidRPr="006B16C3" w14:paraId="4464B971" w14:textId="77777777" w:rsidTr="0029142A">
        <w:trPr>
          <w:trHeight w:val="1000"/>
        </w:trPr>
        <w:tc>
          <w:tcPr>
            <w:tcW w:w="4734" w:type="dxa"/>
          </w:tcPr>
          <w:p w14:paraId="5247D0C6" w14:textId="77777777" w:rsidR="004F7627" w:rsidRPr="006B16C3" w:rsidRDefault="004F7627" w:rsidP="0029142A">
            <w:pPr>
              <w:pStyle w:val="Normal1"/>
              <w:widowControl w:val="0"/>
              <w:spacing w:line="276" w:lineRule="auto"/>
              <w:jc w:val="center"/>
            </w:pPr>
          </w:p>
          <w:p w14:paraId="282120EF" w14:textId="77777777" w:rsidR="004F7627" w:rsidRPr="006B16C3" w:rsidRDefault="004F7627" w:rsidP="0029142A">
            <w:pPr>
              <w:pStyle w:val="Normal1"/>
              <w:widowControl w:val="0"/>
              <w:spacing w:line="276" w:lineRule="auto"/>
              <w:jc w:val="center"/>
            </w:pPr>
            <w:r w:rsidRPr="006B16C3">
              <w:rPr>
                <w:b/>
                <w:sz w:val="26"/>
                <w:szCs w:val="26"/>
              </w:rPr>
              <w:t xml:space="preserve">FOR AND ON BEHALF OF </w:t>
            </w:r>
          </w:p>
          <w:p w14:paraId="19F944F9" w14:textId="77777777" w:rsidR="004F7627" w:rsidRPr="006B16C3" w:rsidRDefault="004F7627" w:rsidP="0029142A">
            <w:pPr>
              <w:pStyle w:val="Normal1"/>
              <w:widowControl w:val="0"/>
              <w:spacing w:line="276" w:lineRule="auto"/>
              <w:jc w:val="center"/>
            </w:pPr>
            <w:r w:rsidRPr="006B16C3">
              <w:rPr>
                <w:b/>
                <w:sz w:val="26"/>
                <w:szCs w:val="26"/>
              </w:rPr>
              <w:t>THE BUYER</w:t>
            </w:r>
          </w:p>
        </w:tc>
        <w:tc>
          <w:tcPr>
            <w:tcW w:w="4338" w:type="dxa"/>
          </w:tcPr>
          <w:p w14:paraId="0AD7B743" w14:textId="77777777" w:rsidR="004F7627" w:rsidRPr="006B16C3" w:rsidRDefault="004F7627" w:rsidP="0029142A">
            <w:pPr>
              <w:pStyle w:val="Normal1"/>
              <w:widowControl w:val="0"/>
              <w:spacing w:line="276" w:lineRule="auto"/>
              <w:jc w:val="center"/>
            </w:pPr>
          </w:p>
          <w:p w14:paraId="109E3EAA" w14:textId="77777777" w:rsidR="004F7627" w:rsidRPr="006B16C3" w:rsidRDefault="004F7627" w:rsidP="0029142A">
            <w:pPr>
              <w:pStyle w:val="Normal1"/>
              <w:widowControl w:val="0"/>
              <w:spacing w:line="276" w:lineRule="auto"/>
              <w:jc w:val="center"/>
            </w:pPr>
            <w:r w:rsidRPr="006B16C3">
              <w:rPr>
                <w:b/>
                <w:sz w:val="26"/>
                <w:szCs w:val="26"/>
              </w:rPr>
              <w:t xml:space="preserve">FOR AND ON BEHALF OF </w:t>
            </w:r>
          </w:p>
          <w:p w14:paraId="21D6B183" w14:textId="77777777" w:rsidR="004F7627" w:rsidRPr="006B16C3" w:rsidRDefault="004F7627" w:rsidP="0029142A">
            <w:pPr>
              <w:pStyle w:val="Normal1"/>
              <w:widowControl w:val="0"/>
              <w:spacing w:line="276" w:lineRule="auto"/>
              <w:jc w:val="center"/>
            </w:pPr>
            <w:r w:rsidRPr="006B16C3">
              <w:rPr>
                <w:b/>
                <w:sz w:val="26"/>
                <w:szCs w:val="26"/>
              </w:rPr>
              <w:t>THE SELLER</w:t>
            </w:r>
          </w:p>
        </w:tc>
      </w:tr>
    </w:tbl>
    <w:p w14:paraId="32C0E9E0" w14:textId="77777777" w:rsidR="004F7627" w:rsidRDefault="004F7627" w:rsidP="004F7627"/>
    <w:p w14:paraId="2DD90041" w14:textId="77777777" w:rsidR="004F7627" w:rsidRDefault="004F7627" w:rsidP="004F7627"/>
    <w:p w14:paraId="78EB9B32" w14:textId="77777777" w:rsidR="004F7627" w:rsidRDefault="004F7627" w:rsidP="004F7627"/>
    <w:p w14:paraId="01ADC85A" w14:textId="77777777" w:rsidR="004F7627" w:rsidRDefault="004F7627" w:rsidP="004F7627"/>
    <w:p w14:paraId="02EBC97D" w14:textId="77777777" w:rsidR="004F7627" w:rsidRDefault="004F7627" w:rsidP="004F7627"/>
    <w:p w14:paraId="2A9D7B02" w14:textId="77777777" w:rsidR="004F7627" w:rsidRDefault="004F7627" w:rsidP="004F7627"/>
    <w:p w14:paraId="7684C7D9" w14:textId="77777777" w:rsidR="004F7627" w:rsidRDefault="004F7627" w:rsidP="004F7627"/>
    <w:p w14:paraId="5EF3B702" w14:textId="77777777" w:rsidR="004F7627" w:rsidRDefault="004F7627" w:rsidP="004F7627"/>
    <w:p w14:paraId="46C0A636" w14:textId="77777777" w:rsidR="004F7627" w:rsidRDefault="004F7627" w:rsidP="004F7627"/>
    <w:p w14:paraId="67B54154" w14:textId="77777777" w:rsidR="004F7627" w:rsidRDefault="004F7627" w:rsidP="004F7627"/>
    <w:p w14:paraId="2F9819F2" w14:textId="77777777" w:rsidR="004F7627" w:rsidRDefault="004F7627" w:rsidP="004F7627"/>
    <w:p w14:paraId="79281800" w14:textId="77777777" w:rsidR="004F7627" w:rsidRDefault="004F7627" w:rsidP="004F7627"/>
    <w:p w14:paraId="122DB5F5" w14:textId="77777777" w:rsidR="004F7627" w:rsidRDefault="004F7627" w:rsidP="004F7627"/>
    <w:p w14:paraId="7EAA3883" w14:textId="77777777" w:rsidR="004F7627" w:rsidRDefault="004F7627" w:rsidP="004F7627"/>
    <w:p w14:paraId="634708DA" w14:textId="77777777" w:rsidR="004F7627" w:rsidRDefault="004F7627" w:rsidP="004F7627"/>
    <w:p w14:paraId="372B786D" w14:textId="77777777" w:rsidR="004F7627" w:rsidRDefault="004F7627" w:rsidP="004F7627"/>
    <w:p w14:paraId="19B7B049" w14:textId="77777777" w:rsidR="004F7627" w:rsidRDefault="004F7627" w:rsidP="004F7627"/>
    <w:p w14:paraId="36F2AD52" w14:textId="77777777" w:rsidR="004F7627" w:rsidRDefault="004F7627" w:rsidP="004F7627"/>
    <w:p w14:paraId="16F00399" w14:textId="64353B60" w:rsidR="00381FB3" w:rsidRDefault="00381FB3" w:rsidP="004F7627">
      <w:r>
        <w:br w:type="page"/>
      </w:r>
    </w:p>
    <w:p w14:paraId="103171EB" w14:textId="77777777" w:rsidR="00381FB3" w:rsidRPr="007B646A" w:rsidRDefault="00381FB3" w:rsidP="00381FB3">
      <w:pPr>
        <w:pStyle w:val="Heading1"/>
        <w:rPr>
          <w:lang w:val="en-GB"/>
        </w:rPr>
      </w:pPr>
      <w:r w:rsidRPr="007B646A">
        <w:rPr>
          <w:lang w:val="en-GB"/>
        </w:rPr>
        <w:lastRenderedPageBreak/>
        <w:t>ANNEX 1: LIST OF SOFTWARE /HANDOVER DOCUMENT</w:t>
      </w:r>
    </w:p>
    <w:p w14:paraId="6933B7C6" w14:textId="16916B32" w:rsidR="004F7627" w:rsidRPr="00381FB3" w:rsidRDefault="00381FB3" w:rsidP="00381FB3">
      <w:pPr>
        <w:jc w:val="center"/>
        <w:rPr>
          <w:b/>
          <w:i/>
        </w:rPr>
      </w:pPr>
      <w:r w:rsidRPr="00381FB3">
        <w:rPr>
          <w:b/>
          <w:i/>
        </w:rPr>
        <w:t xml:space="preserve">(In Attachment to the Contract No. </w:t>
      </w:r>
      <w:r w:rsidRPr="00381FB3">
        <w:rPr>
          <w:b/>
          <w:i/>
          <w:highlight w:val="yellow"/>
        </w:rPr>
        <w:t>0</w:t>
      </w:r>
      <w:r w:rsidR="002C2B0D">
        <w:rPr>
          <w:b/>
          <w:i/>
        </w:rPr>
        <w:t>8</w:t>
      </w:r>
      <w:r w:rsidRPr="00381FB3">
        <w:rPr>
          <w:b/>
          <w:i/>
        </w:rPr>
        <w:t xml:space="preserve">/2020/VTP- </w:t>
      </w:r>
      <w:r w:rsidR="00BC6789" w:rsidRPr="00BC6789">
        <w:rPr>
          <w:b/>
          <w:i/>
        </w:rPr>
        <w:t>ARABICA</w:t>
      </w:r>
      <w:r w:rsidRPr="00381FB3">
        <w:rPr>
          <w:b/>
          <w:i/>
        </w:rPr>
        <w:t xml:space="preserve">/ SOFTWARE PACKAGE FOR </w:t>
      </w:r>
      <w:r w:rsidR="00CC2A02">
        <w:rPr>
          <w:b/>
          <w:i/>
        </w:rPr>
        <w:t>CALLBASE SYSTEM</w:t>
      </w:r>
      <w:r w:rsidRPr="00381FB3">
        <w:rPr>
          <w:b/>
          <w:i/>
        </w:rPr>
        <w:t>)</w:t>
      </w:r>
    </w:p>
    <w:p w14:paraId="29BD8FF3" w14:textId="77777777" w:rsidR="00381FB3" w:rsidRDefault="00381FB3" w:rsidP="00381FB3">
      <w:pPr>
        <w:jc w:val="center"/>
      </w:pPr>
    </w:p>
    <w:p w14:paraId="7B6D9570" w14:textId="33552425" w:rsidR="00381FB3" w:rsidRPr="00381FB3" w:rsidRDefault="00381FB3" w:rsidP="006C19E1">
      <w:pPr>
        <w:pStyle w:val="Heading2"/>
        <w:numPr>
          <w:ilvl w:val="0"/>
          <w:numId w:val="11"/>
        </w:numPr>
      </w:pPr>
      <w:r w:rsidRPr="00381FB3">
        <w:t>List of handover software systems</w:t>
      </w:r>
    </w:p>
    <w:p w14:paraId="7B81483F" w14:textId="77777777" w:rsidR="00381FB3" w:rsidRPr="00381FB3" w:rsidRDefault="00381FB3" w:rsidP="00381FB3">
      <w:pPr>
        <w:pStyle w:val="Normal1"/>
        <w:widowControl w:val="0"/>
        <w:spacing w:line="276" w:lineRule="auto"/>
        <w:ind w:left="567"/>
        <w:contextualSpacing/>
        <w:rPr>
          <w:b/>
          <w:sz w:val="22"/>
          <w:szCs w:val="22"/>
        </w:rPr>
      </w:pPr>
    </w:p>
    <w:tbl>
      <w:tblPr>
        <w:tblW w:w="9045" w:type="dxa"/>
        <w:tblInd w:w="-6" w:type="dxa"/>
        <w:tbl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insideH w:val="single" w:sz="4" w:space="0" w:color="3B3838" w:themeColor="background2" w:themeShade="40"/>
          <w:insideV w:val="single" w:sz="4" w:space="0" w:color="3B3838" w:themeColor="background2" w:themeShade="40"/>
        </w:tblBorders>
        <w:tblLayout w:type="fixed"/>
        <w:tblLook w:val="0400" w:firstRow="0" w:lastRow="0" w:firstColumn="0" w:lastColumn="0" w:noHBand="0" w:noVBand="1"/>
      </w:tblPr>
      <w:tblGrid>
        <w:gridCol w:w="708"/>
        <w:gridCol w:w="5375"/>
        <w:gridCol w:w="2962"/>
      </w:tblGrid>
      <w:tr w:rsidR="00381FB3" w:rsidRPr="00381FB3" w14:paraId="79542C93" w14:textId="77777777" w:rsidTr="003E0D7C">
        <w:trPr>
          <w:trHeight w:val="567"/>
        </w:trPr>
        <w:tc>
          <w:tcPr>
            <w:tcW w:w="709" w:type="dxa"/>
            <w:shd w:val="clear" w:color="auto" w:fill="3B3838" w:themeFill="background2" w:themeFillShade="40"/>
            <w:vAlign w:val="center"/>
            <w:hideMark/>
          </w:tcPr>
          <w:p w14:paraId="360AE851" w14:textId="77777777" w:rsidR="00381FB3" w:rsidRPr="00381FB3" w:rsidRDefault="00381FB3" w:rsidP="00381FB3">
            <w:pPr>
              <w:pStyle w:val="Normal1"/>
              <w:keepLines/>
              <w:widowControl w:val="0"/>
              <w:spacing w:line="276" w:lineRule="auto"/>
              <w:jc w:val="center"/>
              <w:rPr>
                <w:color w:val="FFFFFF" w:themeColor="background1"/>
                <w:sz w:val="22"/>
                <w:szCs w:val="22"/>
              </w:rPr>
            </w:pPr>
            <w:r w:rsidRPr="00381FB3">
              <w:rPr>
                <w:b/>
                <w:color w:val="FFFFFF" w:themeColor="background1"/>
                <w:sz w:val="22"/>
                <w:szCs w:val="22"/>
              </w:rPr>
              <w:t>No</w:t>
            </w:r>
          </w:p>
        </w:tc>
        <w:tc>
          <w:tcPr>
            <w:tcW w:w="5377" w:type="dxa"/>
            <w:shd w:val="clear" w:color="auto" w:fill="3B3838" w:themeFill="background2" w:themeFillShade="40"/>
            <w:vAlign w:val="center"/>
            <w:hideMark/>
          </w:tcPr>
          <w:p w14:paraId="5B7F445D" w14:textId="77777777" w:rsidR="00381FB3" w:rsidRPr="00381FB3" w:rsidRDefault="00381FB3" w:rsidP="00381FB3">
            <w:pPr>
              <w:pStyle w:val="Normal1"/>
              <w:keepLines/>
              <w:widowControl w:val="0"/>
              <w:spacing w:line="276" w:lineRule="auto"/>
              <w:jc w:val="center"/>
              <w:rPr>
                <w:color w:val="FFFFFF" w:themeColor="background1"/>
                <w:sz w:val="22"/>
                <w:szCs w:val="22"/>
              </w:rPr>
            </w:pPr>
            <w:r w:rsidRPr="00381FB3">
              <w:rPr>
                <w:b/>
                <w:color w:val="FFFFFF" w:themeColor="background1"/>
                <w:sz w:val="22"/>
                <w:szCs w:val="22"/>
              </w:rPr>
              <w:t>SYSTEM</w:t>
            </w:r>
          </w:p>
        </w:tc>
        <w:tc>
          <w:tcPr>
            <w:tcW w:w="2963" w:type="dxa"/>
            <w:shd w:val="clear" w:color="auto" w:fill="3B3838" w:themeFill="background2" w:themeFillShade="40"/>
            <w:vAlign w:val="center"/>
            <w:hideMark/>
          </w:tcPr>
          <w:p w14:paraId="3C6E94ED" w14:textId="77777777" w:rsidR="00381FB3" w:rsidRPr="00381FB3" w:rsidRDefault="00381FB3" w:rsidP="00381FB3">
            <w:pPr>
              <w:pStyle w:val="Normal1"/>
              <w:keepLines/>
              <w:widowControl w:val="0"/>
              <w:spacing w:line="276" w:lineRule="auto"/>
              <w:jc w:val="center"/>
              <w:rPr>
                <w:color w:val="FFFFFF" w:themeColor="background1"/>
                <w:sz w:val="22"/>
                <w:szCs w:val="22"/>
              </w:rPr>
            </w:pPr>
            <w:r w:rsidRPr="00381FB3">
              <w:rPr>
                <w:b/>
                <w:color w:val="FFFFFF" w:themeColor="background1"/>
                <w:sz w:val="22"/>
                <w:szCs w:val="22"/>
              </w:rPr>
              <w:t>QUANTITY</w:t>
            </w:r>
          </w:p>
        </w:tc>
      </w:tr>
      <w:tr w:rsidR="00381FB3" w:rsidRPr="00381FB3" w14:paraId="6AE30A08" w14:textId="77777777" w:rsidTr="003E0D7C">
        <w:trPr>
          <w:trHeight w:val="567"/>
        </w:trPr>
        <w:tc>
          <w:tcPr>
            <w:tcW w:w="709" w:type="dxa"/>
            <w:vAlign w:val="center"/>
            <w:hideMark/>
          </w:tcPr>
          <w:p w14:paraId="2D3EF37F" w14:textId="77777777" w:rsidR="00381FB3" w:rsidRPr="00381FB3" w:rsidRDefault="00381FB3" w:rsidP="00381FB3">
            <w:pPr>
              <w:pStyle w:val="Normal1"/>
              <w:widowControl w:val="0"/>
              <w:jc w:val="center"/>
              <w:rPr>
                <w:sz w:val="22"/>
                <w:szCs w:val="22"/>
              </w:rPr>
            </w:pPr>
            <w:r w:rsidRPr="00381FB3">
              <w:rPr>
                <w:sz w:val="22"/>
                <w:szCs w:val="22"/>
              </w:rPr>
              <w:t>01</w:t>
            </w:r>
            <w:bookmarkStart w:id="4" w:name="_z337ya"/>
            <w:bookmarkEnd w:id="4"/>
          </w:p>
        </w:tc>
        <w:tc>
          <w:tcPr>
            <w:tcW w:w="5377" w:type="dxa"/>
            <w:vAlign w:val="center"/>
            <w:hideMark/>
          </w:tcPr>
          <w:p w14:paraId="63101EC9" w14:textId="7CAC9853" w:rsidR="00381FB3" w:rsidRPr="00381FB3" w:rsidRDefault="00EF2E0A" w:rsidP="00CC2A02">
            <w:pPr>
              <w:pStyle w:val="Normal1"/>
              <w:widowControl w:val="0"/>
              <w:rPr>
                <w:sz w:val="22"/>
                <w:szCs w:val="22"/>
              </w:rPr>
            </w:pPr>
            <w:r w:rsidRPr="00381FB3">
              <w:rPr>
                <w:sz w:val="22"/>
                <w:szCs w:val="22"/>
              </w:rPr>
              <w:t xml:space="preserve">Software Package for </w:t>
            </w:r>
            <w:proofErr w:type="spellStart"/>
            <w:r w:rsidR="00CC2A02">
              <w:rPr>
                <w:sz w:val="22"/>
                <w:szCs w:val="22"/>
              </w:rPr>
              <w:t>CallBase</w:t>
            </w:r>
            <w:proofErr w:type="spellEnd"/>
            <w:r w:rsidR="00CC2A02">
              <w:rPr>
                <w:sz w:val="22"/>
                <w:szCs w:val="22"/>
              </w:rPr>
              <w:t xml:space="preserve"> System</w:t>
            </w:r>
          </w:p>
        </w:tc>
        <w:tc>
          <w:tcPr>
            <w:tcW w:w="2963" w:type="dxa"/>
            <w:vAlign w:val="center"/>
            <w:hideMark/>
          </w:tcPr>
          <w:p w14:paraId="7C79E214" w14:textId="77777777" w:rsidR="00381FB3" w:rsidRPr="00381FB3" w:rsidRDefault="00381FB3" w:rsidP="00381FB3">
            <w:pPr>
              <w:pStyle w:val="Normal1"/>
              <w:widowControl w:val="0"/>
              <w:spacing w:line="276" w:lineRule="auto"/>
              <w:jc w:val="center"/>
              <w:rPr>
                <w:sz w:val="22"/>
                <w:szCs w:val="22"/>
              </w:rPr>
            </w:pPr>
            <w:r w:rsidRPr="00381FB3">
              <w:rPr>
                <w:sz w:val="22"/>
                <w:szCs w:val="22"/>
              </w:rPr>
              <w:t>01</w:t>
            </w:r>
          </w:p>
        </w:tc>
      </w:tr>
    </w:tbl>
    <w:p w14:paraId="2304BCFC" w14:textId="77777777" w:rsidR="00381FB3" w:rsidRPr="00381FB3" w:rsidRDefault="00381FB3" w:rsidP="00381FB3">
      <w:pPr>
        <w:rPr>
          <w:color w:val="000000"/>
        </w:rPr>
      </w:pPr>
    </w:p>
    <w:p w14:paraId="3D4B3AF0" w14:textId="2DBC38A9" w:rsidR="00381FB3" w:rsidRPr="00BC6789" w:rsidRDefault="00381FB3" w:rsidP="006C19E1">
      <w:pPr>
        <w:pStyle w:val="Heading2"/>
        <w:numPr>
          <w:ilvl w:val="0"/>
          <w:numId w:val="11"/>
        </w:numPr>
        <w:rPr>
          <w:highlight w:val="yellow"/>
        </w:rPr>
      </w:pPr>
      <w:r w:rsidRPr="00BC6789">
        <w:rPr>
          <w:highlight w:val="yellow"/>
        </w:rPr>
        <w:t>List of handover documents</w:t>
      </w:r>
    </w:p>
    <w:p w14:paraId="0A20CDC0" w14:textId="77777777" w:rsidR="00381FB3" w:rsidRDefault="00381FB3" w:rsidP="00381FB3">
      <w:pPr>
        <w:pStyle w:val="Normal1"/>
        <w:widowControl w:val="0"/>
        <w:spacing w:line="276" w:lineRule="auto"/>
        <w:ind w:right="-143"/>
        <w:rPr>
          <w:sz w:val="22"/>
          <w:szCs w:val="22"/>
        </w:rPr>
      </w:pPr>
      <w:r w:rsidRPr="00381FB3">
        <w:rPr>
          <w:sz w:val="22"/>
          <w:szCs w:val="22"/>
        </w:rPr>
        <w:t>The training and system technology transfer materials are listed below:</w:t>
      </w:r>
    </w:p>
    <w:p w14:paraId="5A034E56" w14:textId="77777777" w:rsidR="00381FB3" w:rsidRPr="00381FB3" w:rsidRDefault="00381FB3" w:rsidP="00381FB3">
      <w:pPr>
        <w:pStyle w:val="Normal1"/>
        <w:widowControl w:val="0"/>
        <w:spacing w:line="276" w:lineRule="auto"/>
        <w:ind w:right="-143"/>
        <w:rPr>
          <w:sz w:val="22"/>
          <w:szCs w:val="22"/>
        </w:rPr>
      </w:pPr>
    </w:p>
    <w:tbl>
      <w:tblPr>
        <w:tblW w:w="9075" w:type="dxa"/>
        <w:tblInd w:w="-6" w:type="dxa"/>
        <w:tbl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insideH w:val="single" w:sz="4" w:space="0" w:color="3B3838" w:themeColor="background2" w:themeShade="40"/>
          <w:insideV w:val="single" w:sz="4" w:space="0" w:color="3B3838" w:themeColor="background2" w:themeShade="40"/>
        </w:tblBorders>
        <w:tblLayout w:type="fixed"/>
        <w:tblLook w:val="04A0" w:firstRow="1" w:lastRow="0" w:firstColumn="1" w:lastColumn="0" w:noHBand="0" w:noVBand="1"/>
      </w:tblPr>
      <w:tblGrid>
        <w:gridCol w:w="710"/>
        <w:gridCol w:w="5530"/>
        <w:gridCol w:w="2835"/>
      </w:tblGrid>
      <w:tr w:rsidR="00381FB3" w:rsidRPr="00381FB3" w14:paraId="52768B9E" w14:textId="77777777" w:rsidTr="003E0D7C">
        <w:trPr>
          <w:trHeight w:val="567"/>
        </w:trPr>
        <w:tc>
          <w:tcPr>
            <w:tcW w:w="710" w:type="dxa"/>
            <w:shd w:val="clear" w:color="auto" w:fill="3B3838" w:themeFill="background2" w:themeFillShade="40"/>
            <w:vAlign w:val="center"/>
            <w:hideMark/>
          </w:tcPr>
          <w:p w14:paraId="2781F9F2" w14:textId="77777777" w:rsidR="00381FB3" w:rsidRPr="00381FB3" w:rsidRDefault="00381FB3" w:rsidP="00381FB3">
            <w:pPr>
              <w:pStyle w:val="Normal1"/>
              <w:keepLines/>
              <w:widowControl w:val="0"/>
              <w:spacing w:line="276" w:lineRule="auto"/>
              <w:jc w:val="center"/>
              <w:rPr>
                <w:color w:val="FFFFFF" w:themeColor="background1"/>
                <w:sz w:val="22"/>
                <w:szCs w:val="22"/>
              </w:rPr>
            </w:pPr>
            <w:r w:rsidRPr="00381FB3">
              <w:rPr>
                <w:b/>
                <w:color w:val="FFFFFF" w:themeColor="background1"/>
                <w:sz w:val="22"/>
                <w:szCs w:val="22"/>
              </w:rPr>
              <w:t>No</w:t>
            </w:r>
          </w:p>
        </w:tc>
        <w:tc>
          <w:tcPr>
            <w:tcW w:w="5528" w:type="dxa"/>
            <w:shd w:val="clear" w:color="auto" w:fill="3B3838" w:themeFill="background2" w:themeFillShade="40"/>
            <w:vAlign w:val="center"/>
            <w:hideMark/>
          </w:tcPr>
          <w:p w14:paraId="405E7F6C" w14:textId="77777777" w:rsidR="00381FB3" w:rsidRPr="00381FB3" w:rsidRDefault="00381FB3" w:rsidP="00381FB3">
            <w:pPr>
              <w:pStyle w:val="Normal1"/>
              <w:keepLines/>
              <w:widowControl w:val="0"/>
              <w:spacing w:line="276" w:lineRule="auto"/>
              <w:jc w:val="center"/>
              <w:rPr>
                <w:color w:val="FFFFFF" w:themeColor="background1"/>
                <w:sz w:val="22"/>
                <w:szCs w:val="22"/>
              </w:rPr>
            </w:pPr>
            <w:r w:rsidRPr="00381FB3">
              <w:rPr>
                <w:b/>
                <w:color w:val="FFFFFF" w:themeColor="background1"/>
                <w:sz w:val="22"/>
                <w:szCs w:val="22"/>
              </w:rPr>
              <w:t>DOCUMENT NAME</w:t>
            </w:r>
          </w:p>
        </w:tc>
        <w:tc>
          <w:tcPr>
            <w:tcW w:w="2834" w:type="dxa"/>
            <w:shd w:val="clear" w:color="auto" w:fill="3B3838" w:themeFill="background2" w:themeFillShade="40"/>
            <w:vAlign w:val="center"/>
            <w:hideMark/>
          </w:tcPr>
          <w:p w14:paraId="044B2928" w14:textId="1D16960D" w:rsidR="00381FB3" w:rsidRPr="00381FB3" w:rsidRDefault="003E0D7C" w:rsidP="00381FB3">
            <w:pPr>
              <w:pStyle w:val="Normal1"/>
              <w:keepLines/>
              <w:widowControl w:val="0"/>
              <w:spacing w:line="276" w:lineRule="auto"/>
              <w:jc w:val="center"/>
              <w:rPr>
                <w:color w:val="FFFFFF" w:themeColor="background1"/>
                <w:sz w:val="22"/>
                <w:szCs w:val="22"/>
              </w:rPr>
            </w:pPr>
            <w:r w:rsidRPr="00381FB3">
              <w:rPr>
                <w:b/>
                <w:color w:val="FFFFFF" w:themeColor="background1"/>
                <w:sz w:val="22"/>
                <w:szCs w:val="22"/>
              </w:rPr>
              <w:t>QUANTITY (SET)</w:t>
            </w:r>
          </w:p>
        </w:tc>
      </w:tr>
      <w:tr w:rsidR="00381FB3" w:rsidRPr="00381FB3" w14:paraId="4BA7853E" w14:textId="77777777" w:rsidTr="003E0D7C">
        <w:trPr>
          <w:trHeight w:val="567"/>
        </w:trPr>
        <w:tc>
          <w:tcPr>
            <w:tcW w:w="710" w:type="dxa"/>
            <w:vAlign w:val="center"/>
            <w:hideMark/>
          </w:tcPr>
          <w:p w14:paraId="28D70D0F" w14:textId="77777777" w:rsidR="00381FB3" w:rsidRPr="00381FB3" w:rsidRDefault="00381FB3" w:rsidP="00381FB3">
            <w:pPr>
              <w:pStyle w:val="Normal1"/>
              <w:widowControl w:val="0"/>
              <w:spacing w:line="276" w:lineRule="auto"/>
              <w:jc w:val="center"/>
              <w:rPr>
                <w:sz w:val="22"/>
                <w:szCs w:val="22"/>
              </w:rPr>
            </w:pPr>
            <w:bookmarkStart w:id="5" w:name="_3j2qqm3"/>
            <w:bookmarkEnd w:id="5"/>
            <w:r w:rsidRPr="00381FB3">
              <w:rPr>
                <w:sz w:val="22"/>
                <w:szCs w:val="22"/>
              </w:rPr>
              <w:t>01</w:t>
            </w:r>
          </w:p>
        </w:tc>
        <w:tc>
          <w:tcPr>
            <w:tcW w:w="5528" w:type="dxa"/>
            <w:vAlign w:val="center"/>
            <w:hideMark/>
          </w:tcPr>
          <w:p w14:paraId="5D1CB810" w14:textId="020F3289" w:rsidR="00381FB3" w:rsidRPr="00381FB3" w:rsidRDefault="00ED2EA5" w:rsidP="00ED2EA5">
            <w:pPr>
              <w:pStyle w:val="Normal1"/>
              <w:widowControl w:val="0"/>
              <w:spacing w:line="276" w:lineRule="auto"/>
              <w:rPr>
                <w:sz w:val="22"/>
                <w:szCs w:val="22"/>
              </w:rPr>
            </w:pPr>
            <w:r>
              <w:rPr>
                <w:sz w:val="22"/>
                <w:szCs w:val="22"/>
              </w:rPr>
              <w:t>Installation profile Document</w:t>
            </w:r>
          </w:p>
        </w:tc>
        <w:tc>
          <w:tcPr>
            <w:tcW w:w="2834" w:type="dxa"/>
            <w:vAlign w:val="center"/>
            <w:hideMark/>
          </w:tcPr>
          <w:p w14:paraId="31CE1FD2" w14:textId="77777777" w:rsidR="00381FB3" w:rsidRPr="00381FB3" w:rsidRDefault="00381FB3" w:rsidP="00381FB3">
            <w:pPr>
              <w:pStyle w:val="Normal1"/>
              <w:widowControl w:val="0"/>
              <w:spacing w:line="276" w:lineRule="auto"/>
              <w:jc w:val="center"/>
              <w:rPr>
                <w:sz w:val="22"/>
                <w:szCs w:val="22"/>
              </w:rPr>
            </w:pPr>
            <w:r w:rsidRPr="00381FB3">
              <w:rPr>
                <w:sz w:val="22"/>
                <w:szCs w:val="22"/>
              </w:rPr>
              <w:t>01</w:t>
            </w:r>
          </w:p>
        </w:tc>
      </w:tr>
      <w:tr w:rsidR="00381FB3" w:rsidRPr="00381FB3" w14:paraId="2095DB49" w14:textId="77777777" w:rsidTr="003E0D7C">
        <w:trPr>
          <w:trHeight w:val="567"/>
        </w:trPr>
        <w:tc>
          <w:tcPr>
            <w:tcW w:w="710" w:type="dxa"/>
            <w:vAlign w:val="center"/>
            <w:hideMark/>
          </w:tcPr>
          <w:p w14:paraId="74AF8013" w14:textId="77777777" w:rsidR="00381FB3" w:rsidRPr="00381FB3" w:rsidRDefault="00381FB3" w:rsidP="00381FB3">
            <w:pPr>
              <w:pStyle w:val="Normal1"/>
              <w:widowControl w:val="0"/>
              <w:spacing w:line="276" w:lineRule="auto"/>
              <w:jc w:val="center"/>
              <w:rPr>
                <w:sz w:val="22"/>
                <w:szCs w:val="22"/>
              </w:rPr>
            </w:pPr>
            <w:r w:rsidRPr="00381FB3">
              <w:rPr>
                <w:sz w:val="22"/>
                <w:szCs w:val="22"/>
              </w:rPr>
              <w:t>02</w:t>
            </w:r>
          </w:p>
        </w:tc>
        <w:tc>
          <w:tcPr>
            <w:tcW w:w="5528" w:type="dxa"/>
            <w:vAlign w:val="center"/>
            <w:hideMark/>
          </w:tcPr>
          <w:p w14:paraId="0BD14FF8" w14:textId="0B813D7D" w:rsidR="00381FB3" w:rsidRPr="00381FB3" w:rsidRDefault="00ED2EA5" w:rsidP="00ED2EA5">
            <w:pPr>
              <w:pStyle w:val="Normal1"/>
              <w:widowControl w:val="0"/>
              <w:spacing w:line="276" w:lineRule="auto"/>
              <w:rPr>
                <w:sz w:val="22"/>
                <w:szCs w:val="22"/>
              </w:rPr>
            </w:pPr>
            <w:r>
              <w:rPr>
                <w:sz w:val="22"/>
                <w:szCs w:val="22"/>
              </w:rPr>
              <w:t>Configuration guideline Document</w:t>
            </w:r>
          </w:p>
        </w:tc>
        <w:tc>
          <w:tcPr>
            <w:tcW w:w="2834" w:type="dxa"/>
            <w:vAlign w:val="center"/>
            <w:hideMark/>
          </w:tcPr>
          <w:p w14:paraId="77F58254" w14:textId="77777777" w:rsidR="00381FB3" w:rsidRPr="00381FB3" w:rsidRDefault="00381FB3" w:rsidP="00381FB3">
            <w:pPr>
              <w:pStyle w:val="Normal1"/>
              <w:widowControl w:val="0"/>
              <w:jc w:val="center"/>
              <w:rPr>
                <w:sz w:val="22"/>
                <w:szCs w:val="22"/>
              </w:rPr>
            </w:pPr>
            <w:r w:rsidRPr="00381FB3">
              <w:rPr>
                <w:sz w:val="22"/>
                <w:szCs w:val="22"/>
              </w:rPr>
              <w:t>01</w:t>
            </w:r>
          </w:p>
        </w:tc>
      </w:tr>
      <w:tr w:rsidR="00381FB3" w:rsidRPr="00381FB3" w14:paraId="5B345BF2" w14:textId="77777777" w:rsidTr="003E0D7C">
        <w:trPr>
          <w:trHeight w:val="567"/>
        </w:trPr>
        <w:tc>
          <w:tcPr>
            <w:tcW w:w="710" w:type="dxa"/>
            <w:vAlign w:val="center"/>
            <w:hideMark/>
          </w:tcPr>
          <w:p w14:paraId="300A4248" w14:textId="77777777" w:rsidR="00381FB3" w:rsidRPr="00381FB3" w:rsidRDefault="00381FB3" w:rsidP="00381FB3">
            <w:pPr>
              <w:pStyle w:val="Normal1"/>
              <w:widowControl w:val="0"/>
              <w:spacing w:line="276" w:lineRule="auto"/>
              <w:jc w:val="center"/>
              <w:rPr>
                <w:sz w:val="22"/>
                <w:szCs w:val="22"/>
              </w:rPr>
            </w:pPr>
            <w:r w:rsidRPr="00381FB3">
              <w:rPr>
                <w:sz w:val="22"/>
                <w:szCs w:val="22"/>
              </w:rPr>
              <w:t>03</w:t>
            </w:r>
          </w:p>
        </w:tc>
        <w:tc>
          <w:tcPr>
            <w:tcW w:w="5528" w:type="dxa"/>
            <w:vAlign w:val="center"/>
            <w:hideMark/>
          </w:tcPr>
          <w:p w14:paraId="149D97EE" w14:textId="5AAD7499" w:rsidR="00381FB3" w:rsidRPr="00381FB3" w:rsidRDefault="00ED2EA5" w:rsidP="00381FB3">
            <w:pPr>
              <w:pStyle w:val="Normal1"/>
              <w:widowControl w:val="0"/>
              <w:spacing w:line="276" w:lineRule="auto"/>
              <w:rPr>
                <w:sz w:val="22"/>
                <w:szCs w:val="22"/>
              </w:rPr>
            </w:pPr>
            <w:r>
              <w:rPr>
                <w:sz w:val="22"/>
                <w:szCs w:val="22"/>
              </w:rPr>
              <w:t xml:space="preserve">Operation and </w:t>
            </w:r>
            <w:r w:rsidR="007514C0">
              <w:rPr>
                <w:sz w:val="22"/>
                <w:szCs w:val="22"/>
              </w:rPr>
              <w:t>E</w:t>
            </w:r>
            <w:r w:rsidR="007514C0" w:rsidRPr="007514C0">
              <w:rPr>
                <w:sz w:val="22"/>
                <w:szCs w:val="22"/>
              </w:rPr>
              <w:t xml:space="preserve">xploitation </w:t>
            </w:r>
            <w:r>
              <w:rPr>
                <w:sz w:val="22"/>
                <w:szCs w:val="22"/>
              </w:rPr>
              <w:t>guideline Document</w:t>
            </w:r>
          </w:p>
        </w:tc>
        <w:tc>
          <w:tcPr>
            <w:tcW w:w="2834" w:type="dxa"/>
            <w:vAlign w:val="center"/>
            <w:hideMark/>
          </w:tcPr>
          <w:p w14:paraId="7CDA3BC8" w14:textId="77777777" w:rsidR="00381FB3" w:rsidRPr="00381FB3" w:rsidRDefault="00381FB3" w:rsidP="00381FB3">
            <w:pPr>
              <w:pStyle w:val="Normal1"/>
              <w:widowControl w:val="0"/>
              <w:jc w:val="center"/>
              <w:rPr>
                <w:sz w:val="22"/>
                <w:szCs w:val="22"/>
              </w:rPr>
            </w:pPr>
            <w:r w:rsidRPr="00381FB3">
              <w:rPr>
                <w:sz w:val="22"/>
                <w:szCs w:val="22"/>
              </w:rPr>
              <w:t>01</w:t>
            </w:r>
          </w:p>
        </w:tc>
      </w:tr>
    </w:tbl>
    <w:p w14:paraId="02B82929" w14:textId="77777777" w:rsidR="00381FB3" w:rsidRDefault="00381FB3" w:rsidP="00381FB3">
      <w:pPr>
        <w:rPr>
          <w:color w:val="000000"/>
        </w:rPr>
      </w:pPr>
    </w:p>
    <w:p w14:paraId="11B52707" w14:textId="77777777" w:rsidR="00381FB3" w:rsidRDefault="00381FB3" w:rsidP="00381FB3"/>
    <w:p w14:paraId="3E0E9F12" w14:textId="77777777" w:rsidR="00381FB3" w:rsidRDefault="00381FB3" w:rsidP="00381FB3"/>
    <w:p w14:paraId="51F93D3F" w14:textId="77777777" w:rsidR="00381FB3" w:rsidRDefault="00381FB3" w:rsidP="00381FB3"/>
    <w:p w14:paraId="61AF6D35" w14:textId="77777777" w:rsidR="00381FB3" w:rsidRDefault="00381FB3" w:rsidP="00381FB3"/>
    <w:p w14:paraId="21FD637F" w14:textId="77777777" w:rsidR="00381FB3" w:rsidRDefault="00381FB3" w:rsidP="00381FB3"/>
    <w:p w14:paraId="10DEBF6E" w14:textId="77777777" w:rsidR="00381FB3" w:rsidRDefault="00381FB3" w:rsidP="00381FB3"/>
    <w:p w14:paraId="4C628C98" w14:textId="77777777" w:rsidR="00381FB3" w:rsidRDefault="00381FB3" w:rsidP="00381FB3"/>
    <w:p w14:paraId="7BB86E72" w14:textId="77777777" w:rsidR="00381FB3" w:rsidRDefault="00381FB3" w:rsidP="00381FB3"/>
    <w:p w14:paraId="6D71F356" w14:textId="77777777" w:rsidR="00381FB3" w:rsidRDefault="00381FB3" w:rsidP="00381FB3"/>
    <w:p w14:paraId="4791280C" w14:textId="77777777" w:rsidR="00381FB3" w:rsidRDefault="00381FB3" w:rsidP="00381FB3"/>
    <w:p w14:paraId="26BA2D4D" w14:textId="77777777" w:rsidR="00381FB3" w:rsidRDefault="00381FB3" w:rsidP="00381FB3"/>
    <w:p w14:paraId="4F68ADC0" w14:textId="77777777" w:rsidR="00381FB3" w:rsidRDefault="00381FB3" w:rsidP="00381FB3"/>
    <w:p w14:paraId="7DDE833A" w14:textId="77777777" w:rsidR="00381FB3" w:rsidRDefault="00381FB3" w:rsidP="00381FB3"/>
    <w:p w14:paraId="24D09558" w14:textId="77777777" w:rsidR="00381FB3" w:rsidRDefault="00381FB3" w:rsidP="00381FB3">
      <w:pPr>
        <w:pStyle w:val="Heading1"/>
        <w:rPr>
          <w:color w:val="000000"/>
          <w:lang w:val="en-US"/>
        </w:rPr>
      </w:pPr>
      <w:r>
        <w:lastRenderedPageBreak/>
        <w:t>ANNEX 2:   LIST OF FUNCTIONS</w:t>
      </w:r>
    </w:p>
    <w:p w14:paraId="70FE13CD" w14:textId="5E7F7C79" w:rsidR="00381FB3" w:rsidRPr="00381FB3" w:rsidRDefault="00381FB3" w:rsidP="00381FB3">
      <w:pPr>
        <w:jc w:val="center"/>
        <w:rPr>
          <w:b/>
          <w:i/>
          <w:sz w:val="24"/>
          <w:szCs w:val="24"/>
        </w:rPr>
      </w:pPr>
      <w:r w:rsidRPr="00381FB3">
        <w:rPr>
          <w:b/>
          <w:i/>
        </w:rPr>
        <w:t xml:space="preserve">(In attachment to the Contract No. </w:t>
      </w:r>
      <w:r w:rsidR="00B46E23">
        <w:rPr>
          <w:b/>
          <w:i/>
          <w:highlight w:val="yellow"/>
        </w:rPr>
        <w:t>08</w:t>
      </w:r>
      <w:r w:rsidRPr="00381FB3">
        <w:rPr>
          <w:b/>
          <w:i/>
        </w:rPr>
        <w:t xml:space="preserve">/2020/VTP- </w:t>
      </w:r>
      <w:r w:rsidR="00BC6789">
        <w:rPr>
          <w:b/>
          <w:i/>
        </w:rPr>
        <w:t>ARABICA</w:t>
      </w:r>
      <w:r w:rsidRPr="00381FB3">
        <w:rPr>
          <w:b/>
          <w:i/>
        </w:rPr>
        <w:t xml:space="preserve">/ SOFTWARE PACKAGE FOR </w:t>
      </w:r>
      <w:r w:rsidR="00CC2A02">
        <w:rPr>
          <w:b/>
          <w:i/>
        </w:rPr>
        <w:t>CALLBASE SYSTEM</w:t>
      </w:r>
      <w:r w:rsidRPr="00381FB3">
        <w:rPr>
          <w:b/>
          <w:i/>
        </w:rPr>
        <w:t>)</w:t>
      </w:r>
    </w:p>
    <w:p w14:paraId="5E4AA093" w14:textId="498CCA04" w:rsidR="00381FB3" w:rsidRDefault="00381FB3" w:rsidP="006C19E1">
      <w:pPr>
        <w:pStyle w:val="Heading2"/>
        <w:numPr>
          <w:ilvl w:val="0"/>
          <w:numId w:val="12"/>
        </w:numPr>
      </w:pPr>
      <w:r>
        <w:t>List of functions</w:t>
      </w:r>
    </w:p>
    <w:tbl>
      <w:tblPr>
        <w:tblStyle w:val="TableGrid"/>
        <w:tblW w:w="0" w:type="auto"/>
        <w:tbl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insideH w:val="single" w:sz="4" w:space="0" w:color="3B3838" w:themeColor="background2" w:themeShade="40"/>
          <w:insideV w:val="single" w:sz="4" w:space="0" w:color="3B3838" w:themeColor="background2" w:themeShade="40"/>
        </w:tblBorders>
        <w:tblLook w:val="04A0" w:firstRow="1" w:lastRow="0" w:firstColumn="1" w:lastColumn="0" w:noHBand="0" w:noVBand="1"/>
      </w:tblPr>
      <w:tblGrid>
        <w:gridCol w:w="925"/>
        <w:gridCol w:w="5307"/>
        <w:gridCol w:w="2127"/>
      </w:tblGrid>
      <w:tr w:rsidR="0046256B" w:rsidRPr="00BC6789" w14:paraId="67B21561" w14:textId="77777777" w:rsidTr="0046256B">
        <w:trPr>
          <w:trHeight w:val="567"/>
        </w:trPr>
        <w:tc>
          <w:tcPr>
            <w:tcW w:w="925" w:type="dxa"/>
            <w:shd w:val="clear" w:color="auto" w:fill="3B3838" w:themeFill="background2" w:themeFillShade="40"/>
            <w:vAlign w:val="center"/>
            <w:hideMark/>
          </w:tcPr>
          <w:p w14:paraId="24B17B44" w14:textId="2A39EC62" w:rsidR="0046256B" w:rsidRPr="00BC6789" w:rsidRDefault="0046256B" w:rsidP="003E0D7C">
            <w:pPr>
              <w:pStyle w:val="Normal1"/>
              <w:keepLines/>
              <w:widowControl w:val="0"/>
              <w:spacing w:line="276" w:lineRule="auto"/>
              <w:jc w:val="center"/>
              <w:rPr>
                <w:b/>
                <w:color w:val="FFFFFF" w:themeColor="background1"/>
                <w:sz w:val="22"/>
                <w:szCs w:val="22"/>
                <w:lang w:val="en-GB"/>
              </w:rPr>
            </w:pPr>
            <w:r w:rsidRPr="00BC6789">
              <w:rPr>
                <w:b/>
                <w:color w:val="FFFFFF" w:themeColor="background1"/>
                <w:sz w:val="22"/>
                <w:szCs w:val="22"/>
                <w:lang w:val="en-GB"/>
              </w:rPr>
              <w:t>INDEX</w:t>
            </w:r>
          </w:p>
        </w:tc>
        <w:tc>
          <w:tcPr>
            <w:tcW w:w="5307" w:type="dxa"/>
            <w:shd w:val="clear" w:color="auto" w:fill="3B3838" w:themeFill="background2" w:themeFillShade="40"/>
            <w:vAlign w:val="center"/>
            <w:hideMark/>
          </w:tcPr>
          <w:p w14:paraId="47D2AE74" w14:textId="044B49DB" w:rsidR="0046256B" w:rsidRPr="00BC6789" w:rsidRDefault="0046256B" w:rsidP="003E0D7C">
            <w:pPr>
              <w:pStyle w:val="Normal1"/>
              <w:keepLines/>
              <w:widowControl w:val="0"/>
              <w:spacing w:line="276" w:lineRule="auto"/>
              <w:jc w:val="center"/>
              <w:rPr>
                <w:b/>
                <w:color w:val="FFFFFF" w:themeColor="background1"/>
                <w:sz w:val="22"/>
                <w:szCs w:val="22"/>
                <w:lang w:val="en-GB"/>
              </w:rPr>
            </w:pPr>
            <w:r w:rsidRPr="00BC6789">
              <w:rPr>
                <w:b/>
                <w:color w:val="FFFFFF" w:themeColor="background1"/>
                <w:sz w:val="22"/>
                <w:szCs w:val="22"/>
                <w:lang w:val="en-GB"/>
              </w:rPr>
              <w:t>APPLICATION</w:t>
            </w:r>
          </w:p>
        </w:tc>
        <w:tc>
          <w:tcPr>
            <w:tcW w:w="2127" w:type="dxa"/>
            <w:shd w:val="clear" w:color="auto" w:fill="3B3838" w:themeFill="background2" w:themeFillShade="40"/>
            <w:vAlign w:val="center"/>
            <w:hideMark/>
          </w:tcPr>
          <w:p w14:paraId="787B6E4E" w14:textId="2517E6CF" w:rsidR="0046256B" w:rsidRPr="00BC6789" w:rsidRDefault="0046256B" w:rsidP="003E0D7C">
            <w:pPr>
              <w:pStyle w:val="Normal1"/>
              <w:keepLines/>
              <w:widowControl w:val="0"/>
              <w:spacing w:line="276" w:lineRule="auto"/>
              <w:jc w:val="center"/>
              <w:rPr>
                <w:b/>
                <w:color w:val="FFFFFF" w:themeColor="background1"/>
                <w:sz w:val="22"/>
                <w:szCs w:val="22"/>
                <w:lang w:val="en-GB"/>
              </w:rPr>
            </w:pPr>
            <w:r w:rsidRPr="00BC6789">
              <w:rPr>
                <w:b/>
                <w:color w:val="FFFFFF" w:themeColor="background1"/>
                <w:sz w:val="22"/>
                <w:szCs w:val="22"/>
                <w:lang w:val="en-GB"/>
              </w:rPr>
              <w:t>DETAIL</w:t>
            </w:r>
          </w:p>
        </w:tc>
      </w:tr>
      <w:tr w:rsidR="0046256B" w:rsidRPr="00BC6789" w14:paraId="6F2325AB" w14:textId="77777777" w:rsidTr="0046256B">
        <w:trPr>
          <w:trHeight w:val="567"/>
        </w:trPr>
        <w:tc>
          <w:tcPr>
            <w:tcW w:w="925" w:type="dxa"/>
            <w:vAlign w:val="center"/>
            <w:hideMark/>
          </w:tcPr>
          <w:p w14:paraId="35EB1370" w14:textId="77777777" w:rsidR="0046256B" w:rsidRPr="00BC6789" w:rsidRDefault="0046256B" w:rsidP="003E0D7C">
            <w:pPr>
              <w:pStyle w:val="Normal1"/>
              <w:keepLines/>
              <w:widowControl w:val="0"/>
              <w:spacing w:line="276" w:lineRule="auto"/>
              <w:jc w:val="center"/>
              <w:rPr>
                <w:sz w:val="22"/>
                <w:szCs w:val="22"/>
                <w:lang w:val="en-GB"/>
              </w:rPr>
            </w:pPr>
            <w:r w:rsidRPr="00BC6789">
              <w:rPr>
                <w:sz w:val="22"/>
                <w:szCs w:val="22"/>
                <w:lang w:val="en-GB"/>
              </w:rPr>
              <w:t>1</w:t>
            </w:r>
          </w:p>
        </w:tc>
        <w:tc>
          <w:tcPr>
            <w:tcW w:w="5307" w:type="dxa"/>
            <w:vAlign w:val="center"/>
            <w:hideMark/>
          </w:tcPr>
          <w:p w14:paraId="16558A6E" w14:textId="5C8FD1EC" w:rsidR="0046256B" w:rsidRPr="00BC6789" w:rsidRDefault="0046256B" w:rsidP="00CD1517">
            <w:pPr>
              <w:pStyle w:val="Normal1"/>
              <w:keepLines/>
              <w:widowControl w:val="0"/>
              <w:spacing w:line="276" w:lineRule="auto"/>
              <w:rPr>
                <w:sz w:val="22"/>
                <w:szCs w:val="22"/>
                <w:lang w:val="en-GB"/>
              </w:rPr>
            </w:pPr>
            <w:r w:rsidRPr="00BC6789">
              <w:rPr>
                <w:color w:val="auto"/>
                <w:sz w:val="22"/>
                <w:szCs w:val="22"/>
                <w:lang w:val="en-GB"/>
              </w:rPr>
              <w:t xml:space="preserve">Push the event: Initiate </w:t>
            </w:r>
            <w:r>
              <w:rPr>
                <w:color w:val="auto"/>
                <w:sz w:val="22"/>
                <w:szCs w:val="22"/>
                <w:lang w:val="en-GB"/>
              </w:rPr>
              <w:t>call</w:t>
            </w:r>
          </w:p>
        </w:tc>
        <w:tc>
          <w:tcPr>
            <w:tcW w:w="2127" w:type="dxa"/>
            <w:vAlign w:val="center"/>
          </w:tcPr>
          <w:p w14:paraId="6AAC5029" w14:textId="54DF4CE2" w:rsidR="0046256B" w:rsidRPr="00BC6789" w:rsidRDefault="0046256B" w:rsidP="003E0D7C">
            <w:pPr>
              <w:pStyle w:val="Normal1"/>
              <w:keepLines/>
              <w:widowControl w:val="0"/>
              <w:spacing w:line="276" w:lineRule="auto"/>
              <w:jc w:val="center"/>
              <w:rPr>
                <w:sz w:val="22"/>
                <w:szCs w:val="22"/>
                <w:lang w:val="en-GB"/>
              </w:rPr>
            </w:pPr>
            <w:proofErr w:type="spellStart"/>
            <w:r>
              <w:rPr>
                <w:sz w:val="22"/>
                <w:szCs w:val="22"/>
                <w:lang w:val="en-GB"/>
              </w:rPr>
              <w:t>CallBase</w:t>
            </w:r>
            <w:proofErr w:type="spellEnd"/>
          </w:p>
        </w:tc>
      </w:tr>
      <w:tr w:rsidR="0046256B" w:rsidRPr="00BC6789" w14:paraId="76764B9A" w14:textId="77777777" w:rsidTr="0046256B">
        <w:trPr>
          <w:trHeight w:val="567"/>
        </w:trPr>
        <w:tc>
          <w:tcPr>
            <w:tcW w:w="925" w:type="dxa"/>
            <w:vAlign w:val="center"/>
            <w:hideMark/>
          </w:tcPr>
          <w:p w14:paraId="3268FF57" w14:textId="77777777" w:rsidR="0046256B" w:rsidRPr="00BC6789" w:rsidRDefault="0046256B" w:rsidP="0029142A">
            <w:pPr>
              <w:pStyle w:val="Normal1"/>
              <w:keepLines/>
              <w:widowControl w:val="0"/>
              <w:spacing w:line="276" w:lineRule="auto"/>
              <w:jc w:val="center"/>
              <w:rPr>
                <w:sz w:val="22"/>
                <w:szCs w:val="22"/>
                <w:lang w:val="en-GB"/>
              </w:rPr>
            </w:pPr>
            <w:r w:rsidRPr="00BC6789">
              <w:rPr>
                <w:sz w:val="22"/>
                <w:szCs w:val="22"/>
                <w:lang w:val="en-GB"/>
              </w:rPr>
              <w:t>2</w:t>
            </w:r>
          </w:p>
        </w:tc>
        <w:tc>
          <w:tcPr>
            <w:tcW w:w="5307" w:type="dxa"/>
            <w:vAlign w:val="center"/>
            <w:hideMark/>
          </w:tcPr>
          <w:p w14:paraId="01188DF1" w14:textId="14D25526" w:rsidR="0046256B" w:rsidRPr="00BC6789" w:rsidRDefault="0046256B" w:rsidP="0029142A">
            <w:pPr>
              <w:pStyle w:val="Normal1"/>
              <w:keepLines/>
              <w:widowControl w:val="0"/>
              <w:spacing w:line="276" w:lineRule="auto"/>
              <w:rPr>
                <w:sz w:val="22"/>
                <w:szCs w:val="22"/>
                <w:lang w:val="en-GB"/>
              </w:rPr>
            </w:pPr>
            <w:r w:rsidRPr="00110B13">
              <w:rPr>
                <w:color w:val="auto"/>
                <w:sz w:val="22"/>
                <w:szCs w:val="22"/>
                <w:lang w:val="en-GB"/>
              </w:rPr>
              <w:t xml:space="preserve">Push the event: </w:t>
            </w:r>
            <w:r>
              <w:rPr>
                <w:color w:val="auto"/>
                <w:sz w:val="22"/>
                <w:szCs w:val="22"/>
                <w:lang w:val="en-GB"/>
              </w:rPr>
              <w:t>End</w:t>
            </w:r>
            <w:r w:rsidRPr="00110B13">
              <w:rPr>
                <w:color w:val="auto"/>
                <w:sz w:val="22"/>
                <w:szCs w:val="22"/>
                <w:lang w:val="en-GB"/>
              </w:rPr>
              <w:t xml:space="preserve"> call</w:t>
            </w:r>
          </w:p>
        </w:tc>
        <w:tc>
          <w:tcPr>
            <w:tcW w:w="2127" w:type="dxa"/>
            <w:vAlign w:val="center"/>
          </w:tcPr>
          <w:p w14:paraId="260A0828" w14:textId="79FD6E5C" w:rsidR="0046256B" w:rsidRPr="00BC6789" w:rsidRDefault="0046256B" w:rsidP="0029142A">
            <w:pPr>
              <w:pStyle w:val="Normal1"/>
              <w:keepLines/>
              <w:widowControl w:val="0"/>
              <w:spacing w:line="276" w:lineRule="auto"/>
              <w:jc w:val="center"/>
              <w:rPr>
                <w:sz w:val="22"/>
                <w:szCs w:val="22"/>
                <w:lang w:val="en-GB"/>
              </w:rPr>
            </w:pPr>
            <w:proofErr w:type="spellStart"/>
            <w:r w:rsidRPr="00953418">
              <w:rPr>
                <w:sz w:val="22"/>
                <w:szCs w:val="22"/>
                <w:lang w:val="en-GB"/>
              </w:rPr>
              <w:t>CallBase</w:t>
            </w:r>
            <w:proofErr w:type="spellEnd"/>
          </w:p>
        </w:tc>
      </w:tr>
      <w:tr w:rsidR="0046256B" w:rsidRPr="00BC6789" w14:paraId="4C6C98D6" w14:textId="77777777" w:rsidTr="0046256B">
        <w:trPr>
          <w:trHeight w:val="567"/>
        </w:trPr>
        <w:tc>
          <w:tcPr>
            <w:tcW w:w="925" w:type="dxa"/>
            <w:vAlign w:val="center"/>
            <w:hideMark/>
          </w:tcPr>
          <w:p w14:paraId="333F4CC8" w14:textId="77777777" w:rsidR="0046256B" w:rsidRPr="00BC6789" w:rsidRDefault="0046256B" w:rsidP="0029142A">
            <w:pPr>
              <w:pStyle w:val="Normal1"/>
              <w:keepLines/>
              <w:widowControl w:val="0"/>
              <w:spacing w:line="276" w:lineRule="auto"/>
              <w:jc w:val="center"/>
              <w:rPr>
                <w:sz w:val="22"/>
                <w:szCs w:val="22"/>
                <w:lang w:val="en-GB"/>
              </w:rPr>
            </w:pPr>
            <w:r w:rsidRPr="00BC6789">
              <w:rPr>
                <w:sz w:val="22"/>
                <w:szCs w:val="22"/>
                <w:lang w:val="en-GB"/>
              </w:rPr>
              <w:t>3</w:t>
            </w:r>
          </w:p>
        </w:tc>
        <w:tc>
          <w:tcPr>
            <w:tcW w:w="5307" w:type="dxa"/>
            <w:vAlign w:val="center"/>
            <w:hideMark/>
          </w:tcPr>
          <w:p w14:paraId="1E71559F" w14:textId="241BD30D" w:rsidR="0046256B" w:rsidRPr="00BC6789" w:rsidRDefault="0046256B" w:rsidP="0029142A">
            <w:pPr>
              <w:pStyle w:val="Normal1"/>
              <w:keepLines/>
              <w:widowControl w:val="0"/>
              <w:spacing w:line="276" w:lineRule="auto"/>
              <w:rPr>
                <w:sz w:val="22"/>
                <w:szCs w:val="22"/>
                <w:lang w:val="en-GB"/>
              </w:rPr>
            </w:pPr>
            <w:r w:rsidRPr="00110B13">
              <w:rPr>
                <w:color w:val="auto"/>
                <w:sz w:val="22"/>
                <w:szCs w:val="22"/>
                <w:lang w:val="en-GB"/>
              </w:rPr>
              <w:t xml:space="preserve">Push event: </w:t>
            </w:r>
            <w:r>
              <w:rPr>
                <w:color w:val="auto"/>
                <w:sz w:val="22"/>
                <w:szCs w:val="22"/>
                <w:lang w:val="en-GB"/>
              </w:rPr>
              <w:t>The call about run out of balance</w:t>
            </w:r>
          </w:p>
        </w:tc>
        <w:tc>
          <w:tcPr>
            <w:tcW w:w="2127" w:type="dxa"/>
            <w:vAlign w:val="center"/>
          </w:tcPr>
          <w:p w14:paraId="7CEE7ABE" w14:textId="0A7FAC99" w:rsidR="0046256B" w:rsidRPr="00BC6789" w:rsidRDefault="0046256B" w:rsidP="0029142A">
            <w:pPr>
              <w:pStyle w:val="Normal1"/>
              <w:keepLines/>
              <w:widowControl w:val="0"/>
              <w:spacing w:line="276" w:lineRule="auto"/>
              <w:jc w:val="center"/>
              <w:rPr>
                <w:sz w:val="22"/>
                <w:szCs w:val="22"/>
                <w:lang w:val="en-GB"/>
              </w:rPr>
            </w:pPr>
            <w:proofErr w:type="spellStart"/>
            <w:r w:rsidRPr="00953418">
              <w:rPr>
                <w:sz w:val="22"/>
                <w:szCs w:val="22"/>
                <w:lang w:val="en-GB"/>
              </w:rPr>
              <w:t>CallBase</w:t>
            </w:r>
            <w:proofErr w:type="spellEnd"/>
          </w:p>
        </w:tc>
      </w:tr>
      <w:tr w:rsidR="0046256B" w:rsidRPr="00BC6789" w14:paraId="71E4DC30" w14:textId="77777777" w:rsidTr="0046256B">
        <w:trPr>
          <w:trHeight w:val="567"/>
        </w:trPr>
        <w:tc>
          <w:tcPr>
            <w:tcW w:w="925" w:type="dxa"/>
            <w:vAlign w:val="center"/>
            <w:hideMark/>
          </w:tcPr>
          <w:p w14:paraId="48259335" w14:textId="77777777" w:rsidR="0046256B" w:rsidRPr="00BC6789" w:rsidRDefault="0046256B" w:rsidP="0029142A">
            <w:pPr>
              <w:pStyle w:val="Normal1"/>
              <w:keepLines/>
              <w:widowControl w:val="0"/>
              <w:spacing w:line="276" w:lineRule="auto"/>
              <w:jc w:val="center"/>
              <w:rPr>
                <w:sz w:val="22"/>
                <w:szCs w:val="22"/>
                <w:lang w:val="en-GB"/>
              </w:rPr>
            </w:pPr>
            <w:r w:rsidRPr="00BC6789">
              <w:rPr>
                <w:sz w:val="22"/>
                <w:szCs w:val="22"/>
                <w:lang w:val="en-GB"/>
              </w:rPr>
              <w:t>5</w:t>
            </w:r>
          </w:p>
        </w:tc>
        <w:tc>
          <w:tcPr>
            <w:tcW w:w="5307" w:type="dxa"/>
            <w:vAlign w:val="center"/>
            <w:hideMark/>
          </w:tcPr>
          <w:p w14:paraId="648D402D" w14:textId="14CD89D4" w:rsidR="0046256B" w:rsidRPr="00BC6789" w:rsidRDefault="0046256B" w:rsidP="0029142A">
            <w:pPr>
              <w:pStyle w:val="Normal1"/>
              <w:keepLines/>
              <w:widowControl w:val="0"/>
              <w:spacing w:line="276" w:lineRule="auto"/>
              <w:rPr>
                <w:sz w:val="22"/>
                <w:szCs w:val="22"/>
                <w:lang w:val="en-GB"/>
              </w:rPr>
            </w:pPr>
            <w:r w:rsidRPr="00110B13">
              <w:rPr>
                <w:color w:val="auto"/>
                <w:sz w:val="22"/>
                <w:szCs w:val="22"/>
                <w:lang w:val="en-GB"/>
              </w:rPr>
              <w:t xml:space="preserve">Push event: </w:t>
            </w:r>
            <w:r>
              <w:rPr>
                <w:color w:val="auto"/>
                <w:sz w:val="22"/>
                <w:szCs w:val="22"/>
                <w:lang w:val="en-GB"/>
              </w:rPr>
              <w:t>Recharge by using syntax USSD *121#</w:t>
            </w:r>
          </w:p>
        </w:tc>
        <w:tc>
          <w:tcPr>
            <w:tcW w:w="2127" w:type="dxa"/>
            <w:vAlign w:val="center"/>
          </w:tcPr>
          <w:p w14:paraId="19E3FC14" w14:textId="1320F125" w:rsidR="0046256B" w:rsidRPr="00BC6789" w:rsidRDefault="0046256B" w:rsidP="0029142A">
            <w:pPr>
              <w:pStyle w:val="Normal1"/>
              <w:keepLines/>
              <w:widowControl w:val="0"/>
              <w:spacing w:line="276" w:lineRule="auto"/>
              <w:jc w:val="center"/>
              <w:rPr>
                <w:sz w:val="22"/>
                <w:szCs w:val="22"/>
                <w:lang w:val="en-GB"/>
              </w:rPr>
            </w:pPr>
            <w:proofErr w:type="spellStart"/>
            <w:r w:rsidRPr="00953418">
              <w:rPr>
                <w:sz w:val="22"/>
                <w:szCs w:val="22"/>
                <w:lang w:val="en-GB"/>
              </w:rPr>
              <w:t>CallBase</w:t>
            </w:r>
            <w:proofErr w:type="spellEnd"/>
          </w:p>
        </w:tc>
      </w:tr>
      <w:tr w:rsidR="0046256B" w:rsidRPr="00BC6789" w14:paraId="7541E179" w14:textId="77777777" w:rsidTr="0046256B">
        <w:trPr>
          <w:trHeight w:val="567"/>
        </w:trPr>
        <w:tc>
          <w:tcPr>
            <w:tcW w:w="925" w:type="dxa"/>
            <w:vAlign w:val="center"/>
            <w:hideMark/>
          </w:tcPr>
          <w:p w14:paraId="73E005A9" w14:textId="77777777" w:rsidR="0046256B" w:rsidRPr="00BC6789" w:rsidRDefault="0046256B" w:rsidP="0029142A">
            <w:pPr>
              <w:pStyle w:val="Normal1"/>
              <w:keepLines/>
              <w:widowControl w:val="0"/>
              <w:spacing w:line="276" w:lineRule="auto"/>
              <w:jc w:val="center"/>
              <w:rPr>
                <w:sz w:val="22"/>
                <w:szCs w:val="22"/>
                <w:lang w:val="en-GB"/>
              </w:rPr>
            </w:pPr>
            <w:r w:rsidRPr="00BC6789">
              <w:rPr>
                <w:sz w:val="22"/>
                <w:szCs w:val="22"/>
                <w:lang w:val="en-GB"/>
              </w:rPr>
              <w:t>6</w:t>
            </w:r>
          </w:p>
        </w:tc>
        <w:tc>
          <w:tcPr>
            <w:tcW w:w="5307" w:type="dxa"/>
            <w:vAlign w:val="center"/>
            <w:hideMark/>
          </w:tcPr>
          <w:p w14:paraId="744617B5" w14:textId="39B62DE9" w:rsidR="0046256B" w:rsidRPr="00BC6789" w:rsidRDefault="0046256B" w:rsidP="0029142A">
            <w:pPr>
              <w:pStyle w:val="Normal1"/>
              <w:keepLines/>
              <w:widowControl w:val="0"/>
              <w:spacing w:line="276" w:lineRule="auto"/>
              <w:rPr>
                <w:sz w:val="22"/>
                <w:szCs w:val="22"/>
                <w:lang w:val="en-GB"/>
              </w:rPr>
            </w:pPr>
            <w:r w:rsidRPr="00110B13">
              <w:rPr>
                <w:color w:val="auto"/>
                <w:sz w:val="22"/>
                <w:szCs w:val="22"/>
                <w:lang w:val="en-GB"/>
              </w:rPr>
              <w:t xml:space="preserve">Push event: </w:t>
            </w:r>
            <w:r>
              <w:rPr>
                <w:color w:val="auto"/>
                <w:sz w:val="22"/>
                <w:szCs w:val="22"/>
                <w:lang w:val="en-GB"/>
              </w:rPr>
              <w:t>Recharge by using syntax USSD *122#</w:t>
            </w:r>
          </w:p>
        </w:tc>
        <w:tc>
          <w:tcPr>
            <w:tcW w:w="2127" w:type="dxa"/>
            <w:vAlign w:val="center"/>
          </w:tcPr>
          <w:p w14:paraId="40086993" w14:textId="71CFD01C" w:rsidR="0046256B" w:rsidRPr="00BC6789" w:rsidRDefault="0046256B" w:rsidP="0029142A">
            <w:pPr>
              <w:pStyle w:val="Normal1"/>
              <w:keepLines/>
              <w:widowControl w:val="0"/>
              <w:spacing w:line="276" w:lineRule="auto"/>
              <w:jc w:val="center"/>
              <w:rPr>
                <w:sz w:val="22"/>
                <w:szCs w:val="22"/>
                <w:lang w:val="en-GB"/>
              </w:rPr>
            </w:pPr>
            <w:proofErr w:type="spellStart"/>
            <w:r w:rsidRPr="00953418">
              <w:rPr>
                <w:sz w:val="22"/>
                <w:szCs w:val="22"/>
                <w:lang w:val="en-GB"/>
              </w:rPr>
              <w:t>CallBase</w:t>
            </w:r>
            <w:proofErr w:type="spellEnd"/>
          </w:p>
        </w:tc>
      </w:tr>
      <w:tr w:rsidR="0046256B" w:rsidRPr="00BC6789" w14:paraId="5686A297" w14:textId="77777777" w:rsidTr="0046256B">
        <w:trPr>
          <w:trHeight w:val="567"/>
        </w:trPr>
        <w:tc>
          <w:tcPr>
            <w:tcW w:w="925" w:type="dxa"/>
            <w:vAlign w:val="center"/>
            <w:hideMark/>
          </w:tcPr>
          <w:p w14:paraId="7B73C53B" w14:textId="77777777" w:rsidR="0046256B" w:rsidRPr="00BC6789" w:rsidRDefault="0046256B" w:rsidP="0029142A">
            <w:pPr>
              <w:pStyle w:val="Normal1"/>
              <w:keepLines/>
              <w:widowControl w:val="0"/>
              <w:spacing w:line="276" w:lineRule="auto"/>
              <w:jc w:val="center"/>
              <w:rPr>
                <w:sz w:val="22"/>
                <w:szCs w:val="22"/>
                <w:lang w:val="en-GB"/>
              </w:rPr>
            </w:pPr>
            <w:r w:rsidRPr="00BC6789">
              <w:rPr>
                <w:sz w:val="22"/>
                <w:szCs w:val="22"/>
                <w:lang w:val="en-GB"/>
              </w:rPr>
              <w:t>7</w:t>
            </w:r>
          </w:p>
        </w:tc>
        <w:tc>
          <w:tcPr>
            <w:tcW w:w="5307" w:type="dxa"/>
            <w:vAlign w:val="center"/>
            <w:hideMark/>
          </w:tcPr>
          <w:p w14:paraId="23626664" w14:textId="41FC0865" w:rsidR="0046256B" w:rsidRPr="00BC6789" w:rsidRDefault="0046256B" w:rsidP="0029142A">
            <w:pPr>
              <w:pStyle w:val="Normal1"/>
              <w:keepLines/>
              <w:widowControl w:val="0"/>
              <w:spacing w:line="276" w:lineRule="auto"/>
              <w:rPr>
                <w:sz w:val="22"/>
                <w:szCs w:val="22"/>
                <w:lang w:val="en-GB"/>
              </w:rPr>
            </w:pPr>
            <w:r w:rsidRPr="00110B13">
              <w:rPr>
                <w:color w:val="auto"/>
                <w:sz w:val="22"/>
                <w:szCs w:val="22"/>
                <w:lang w:val="en-GB"/>
              </w:rPr>
              <w:t xml:space="preserve">Push </w:t>
            </w:r>
            <w:r>
              <w:rPr>
                <w:color w:val="auto"/>
                <w:sz w:val="22"/>
                <w:szCs w:val="22"/>
                <w:lang w:val="en-GB"/>
              </w:rPr>
              <w:t>CDR to FILE, Kafka or Database</w:t>
            </w:r>
          </w:p>
        </w:tc>
        <w:tc>
          <w:tcPr>
            <w:tcW w:w="2127" w:type="dxa"/>
            <w:vAlign w:val="center"/>
          </w:tcPr>
          <w:p w14:paraId="10FECAD8" w14:textId="4C6FC0CD" w:rsidR="0046256B" w:rsidRPr="00BC6789" w:rsidRDefault="0046256B" w:rsidP="0029142A">
            <w:pPr>
              <w:pStyle w:val="Normal1"/>
              <w:keepLines/>
              <w:widowControl w:val="0"/>
              <w:spacing w:line="276" w:lineRule="auto"/>
              <w:jc w:val="center"/>
              <w:rPr>
                <w:sz w:val="22"/>
                <w:szCs w:val="22"/>
                <w:lang w:val="en-GB"/>
              </w:rPr>
            </w:pPr>
            <w:proofErr w:type="spellStart"/>
            <w:r w:rsidRPr="00953418">
              <w:rPr>
                <w:sz w:val="22"/>
                <w:szCs w:val="22"/>
                <w:lang w:val="en-GB"/>
              </w:rPr>
              <w:t>CallBase</w:t>
            </w:r>
            <w:proofErr w:type="spellEnd"/>
          </w:p>
        </w:tc>
      </w:tr>
      <w:tr w:rsidR="0046256B" w:rsidRPr="00BC6789" w14:paraId="450FD9ED" w14:textId="77777777" w:rsidTr="0046256B">
        <w:trPr>
          <w:trHeight w:val="567"/>
        </w:trPr>
        <w:tc>
          <w:tcPr>
            <w:tcW w:w="925" w:type="dxa"/>
            <w:vAlign w:val="center"/>
            <w:hideMark/>
          </w:tcPr>
          <w:p w14:paraId="061863E9" w14:textId="77777777" w:rsidR="0046256B" w:rsidRPr="00BC6789" w:rsidRDefault="0046256B" w:rsidP="00CD1517">
            <w:pPr>
              <w:pStyle w:val="Normal1"/>
              <w:keepLines/>
              <w:widowControl w:val="0"/>
              <w:spacing w:line="276" w:lineRule="auto"/>
              <w:jc w:val="center"/>
              <w:rPr>
                <w:rFonts w:eastAsiaTheme="minorHAnsi"/>
                <w:color w:val="auto"/>
                <w:sz w:val="22"/>
                <w:szCs w:val="22"/>
                <w:lang w:val="en-GB"/>
              </w:rPr>
            </w:pPr>
            <w:r w:rsidRPr="00BC6789">
              <w:rPr>
                <w:color w:val="auto"/>
                <w:sz w:val="22"/>
                <w:szCs w:val="22"/>
                <w:lang w:val="en-GB"/>
              </w:rPr>
              <w:t>8</w:t>
            </w:r>
          </w:p>
        </w:tc>
        <w:tc>
          <w:tcPr>
            <w:tcW w:w="5307" w:type="dxa"/>
            <w:vAlign w:val="center"/>
            <w:hideMark/>
          </w:tcPr>
          <w:p w14:paraId="70BD8815" w14:textId="727D2EC6" w:rsidR="0046256B" w:rsidRPr="0029142A" w:rsidRDefault="0046256B" w:rsidP="00CD1517">
            <w:pPr>
              <w:pStyle w:val="Normal1"/>
              <w:keepLines/>
              <w:widowControl w:val="0"/>
              <w:spacing w:line="276" w:lineRule="auto"/>
              <w:rPr>
                <w:color w:val="auto"/>
                <w:sz w:val="22"/>
                <w:szCs w:val="22"/>
                <w:lang w:val="en-GB"/>
              </w:rPr>
            </w:pPr>
            <w:r w:rsidRPr="0029142A">
              <w:rPr>
                <w:color w:val="auto"/>
                <w:sz w:val="22"/>
                <w:szCs w:val="22"/>
                <w:lang w:val="en-GB"/>
              </w:rPr>
              <w:t>Subscriber register service via SMS</w:t>
            </w:r>
          </w:p>
        </w:tc>
        <w:tc>
          <w:tcPr>
            <w:tcW w:w="2127" w:type="dxa"/>
            <w:vAlign w:val="center"/>
          </w:tcPr>
          <w:p w14:paraId="321A6E70" w14:textId="70A14725" w:rsidR="0046256B" w:rsidRPr="00BC6789" w:rsidRDefault="0046256B" w:rsidP="00CD1517">
            <w:pPr>
              <w:pStyle w:val="Normal1"/>
              <w:keepLines/>
              <w:widowControl w:val="0"/>
              <w:spacing w:line="276" w:lineRule="auto"/>
              <w:jc w:val="center"/>
              <w:rPr>
                <w:color w:val="auto"/>
                <w:sz w:val="22"/>
                <w:szCs w:val="22"/>
                <w:lang w:val="en-GB"/>
              </w:rPr>
            </w:pPr>
            <w:proofErr w:type="spellStart"/>
            <w:r>
              <w:rPr>
                <w:color w:val="auto"/>
                <w:sz w:val="22"/>
                <w:szCs w:val="22"/>
                <w:lang w:val="en-GB"/>
              </w:rPr>
              <w:t>ISign</w:t>
            </w:r>
            <w:proofErr w:type="spellEnd"/>
          </w:p>
        </w:tc>
      </w:tr>
      <w:tr w:rsidR="0046256B" w:rsidRPr="00BC6789" w14:paraId="54BD63F8" w14:textId="77777777" w:rsidTr="0046256B">
        <w:trPr>
          <w:trHeight w:val="567"/>
        </w:trPr>
        <w:tc>
          <w:tcPr>
            <w:tcW w:w="925" w:type="dxa"/>
            <w:vAlign w:val="center"/>
            <w:hideMark/>
          </w:tcPr>
          <w:p w14:paraId="0C2823CE" w14:textId="77777777" w:rsidR="0046256B" w:rsidRPr="00BC6789" w:rsidRDefault="0046256B" w:rsidP="00322A3C">
            <w:pPr>
              <w:pStyle w:val="Normal1"/>
              <w:keepLines/>
              <w:widowControl w:val="0"/>
              <w:spacing w:line="276" w:lineRule="auto"/>
              <w:jc w:val="center"/>
              <w:rPr>
                <w:color w:val="auto"/>
                <w:sz w:val="22"/>
                <w:szCs w:val="22"/>
                <w:lang w:val="en-GB"/>
              </w:rPr>
            </w:pPr>
            <w:r w:rsidRPr="00BC6789">
              <w:rPr>
                <w:color w:val="auto"/>
                <w:sz w:val="22"/>
                <w:szCs w:val="22"/>
                <w:lang w:val="en-GB"/>
              </w:rPr>
              <w:t>9</w:t>
            </w:r>
          </w:p>
        </w:tc>
        <w:tc>
          <w:tcPr>
            <w:tcW w:w="5307" w:type="dxa"/>
            <w:vAlign w:val="center"/>
          </w:tcPr>
          <w:p w14:paraId="7AF24CFB" w14:textId="77AB0E7E" w:rsidR="0046256B" w:rsidRPr="0029142A" w:rsidRDefault="0046256B" w:rsidP="00322A3C">
            <w:pPr>
              <w:pStyle w:val="Normal1"/>
              <w:keepLines/>
              <w:widowControl w:val="0"/>
              <w:spacing w:line="276" w:lineRule="auto"/>
              <w:rPr>
                <w:color w:val="auto"/>
                <w:sz w:val="22"/>
                <w:szCs w:val="22"/>
                <w:lang w:val="en-GB"/>
              </w:rPr>
            </w:pPr>
            <w:r>
              <w:rPr>
                <w:color w:val="auto"/>
                <w:sz w:val="22"/>
                <w:szCs w:val="22"/>
                <w:lang w:val="en-GB"/>
              </w:rPr>
              <w:t>Cancel service via SMS</w:t>
            </w:r>
          </w:p>
        </w:tc>
        <w:tc>
          <w:tcPr>
            <w:tcW w:w="2127" w:type="dxa"/>
            <w:vAlign w:val="center"/>
          </w:tcPr>
          <w:p w14:paraId="3C802D66" w14:textId="7C699F62" w:rsidR="0046256B" w:rsidRPr="00BC6789" w:rsidRDefault="0046256B" w:rsidP="00322A3C">
            <w:pPr>
              <w:pStyle w:val="Normal1"/>
              <w:keepLines/>
              <w:widowControl w:val="0"/>
              <w:spacing w:line="276" w:lineRule="auto"/>
              <w:jc w:val="center"/>
              <w:rPr>
                <w:color w:val="auto"/>
                <w:sz w:val="22"/>
                <w:szCs w:val="22"/>
                <w:lang w:val="en-GB"/>
              </w:rPr>
            </w:pPr>
            <w:proofErr w:type="spellStart"/>
            <w:r w:rsidRPr="009567C4">
              <w:rPr>
                <w:color w:val="auto"/>
                <w:sz w:val="22"/>
                <w:szCs w:val="22"/>
                <w:lang w:val="en-GB"/>
              </w:rPr>
              <w:t>ISign</w:t>
            </w:r>
            <w:proofErr w:type="spellEnd"/>
          </w:p>
        </w:tc>
      </w:tr>
      <w:tr w:rsidR="0046256B" w:rsidRPr="00BC6789" w14:paraId="01AC582D" w14:textId="77777777" w:rsidTr="0046256B">
        <w:trPr>
          <w:trHeight w:val="567"/>
        </w:trPr>
        <w:tc>
          <w:tcPr>
            <w:tcW w:w="925" w:type="dxa"/>
            <w:vAlign w:val="center"/>
            <w:hideMark/>
          </w:tcPr>
          <w:p w14:paraId="00B0FBFC" w14:textId="77777777" w:rsidR="0046256B" w:rsidRPr="00BC6789" w:rsidRDefault="0046256B" w:rsidP="00322A3C">
            <w:pPr>
              <w:pStyle w:val="Normal1"/>
              <w:keepLines/>
              <w:widowControl w:val="0"/>
              <w:spacing w:line="276" w:lineRule="auto"/>
              <w:jc w:val="center"/>
              <w:rPr>
                <w:color w:val="auto"/>
                <w:sz w:val="22"/>
                <w:szCs w:val="22"/>
                <w:lang w:val="en-GB"/>
              </w:rPr>
            </w:pPr>
            <w:r w:rsidRPr="00BC6789">
              <w:rPr>
                <w:color w:val="auto"/>
                <w:sz w:val="22"/>
                <w:szCs w:val="22"/>
                <w:lang w:val="en-GB"/>
              </w:rPr>
              <w:t>10</w:t>
            </w:r>
          </w:p>
        </w:tc>
        <w:tc>
          <w:tcPr>
            <w:tcW w:w="5307" w:type="dxa"/>
            <w:vAlign w:val="center"/>
          </w:tcPr>
          <w:p w14:paraId="20BFB2B0" w14:textId="570921AA" w:rsidR="0046256B" w:rsidRPr="0029142A" w:rsidRDefault="0046256B" w:rsidP="00322A3C">
            <w:pPr>
              <w:pStyle w:val="Normal1"/>
              <w:keepLines/>
              <w:widowControl w:val="0"/>
              <w:spacing w:line="276" w:lineRule="auto"/>
              <w:rPr>
                <w:color w:val="auto"/>
                <w:sz w:val="22"/>
                <w:szCs w:val="22"/>
                <w:lang w:val="en-GB"/>
              </w:rPr>
            </w:pPr>
            <w:r>
              <w:rPr>
                <w:color w:val="auto"/>
                <w:sz w:val="22"/>
                <w:szCs w:val="22"/>
                <w:lang w:val="en-GB"/>
              </w:rPr>
              <w:t>Subscriber change Signature via SMS</w:t>
            </w:r>
          </w:p>
        </w:tc>
        <w:tc>
          <w:tcPr>
            <w:tcW w:w="2127" w:type="dxa"/>
            <w:vAlign w:val="center"/>
          </w:tcPr>
          <w:p w14:paraId="7536CFFE" w14:textId="7B147C51" w:rsidR="0046256B" w:rsidRPr="00BC6789" w:rsidRDefault="0046256B" w:rsidP="00322A3C">
            <w:pPr>
              <w:pStyle w:val="Normal1"/>
              <w:keepLines/>
              <w:widowControl w:val="0"/>
              <w:spacing w:line="276" w:lineRule="auto"/>
              <w:jc w:val="center"/>
              <w:rPr>
                <w:color w:val="auto"/>
                <w:sz w:val="22"/>
                <w:szCs w:val="22"/>
                <w:lang w:val="en-GB"/>
              </w:rPr>
            </w:pPr>
            <w:proofErr w:type="spellStart"/>
            <w:r w:rsidRPr="009567C4">
              <w:rPr>
                <w:color w:val="auto"/>
                <w:sz w:val="22"/>
                <w:szCs w:val="22"/>
                <w:lang w:val="en-GB"/>
              </w:rPr>
              <w:t>ISign</w:t>
            </w:r>
            <w:proofErr w:type="spellEnd"/>
          </w:p>
        </w:tc>
      </w:tr>
      <w:tr w:rsidR="0046256B" w:rsidRPr="00BC6789" w14:paraId="71A647A0" w14:textId="77777777" w:rsidTr="0046256B">
        <w:trPr>
          <w:trHeight w:val="567"/>
        </w:trPr>
        <w:tc>
          <w:tcPr>
            <w:tcW w:w="925" w:type="dxa"/>
            <w:vAlign w:val="center"/>
            <w:hideMark/>
          </w:tcPr>
          <w:p w14:paraId="4BBF5F1C" w14:textId="77777777" w:rsidR="0046256B" w:rsidRPr="00BC6789" w:rsidRDefault="0046256B" w:rsidP="00322A3C">
            <w:pPr>
              <w:pStyle w:val="Normal1"/>
              <w:keepLines/>
              <w:widowControl w:val="0"/>
              <w:spacing w:line="276" w:lineRule="auto"/>
              <w:jc w:val="center"/>
              <w:rPr>
                <w:color w:val="auto"/>
                <w:sz w:val="22"/>
                <w:szCs w:val="22"/>
                <w:lang w:val="en-GB"/>
              </w:rPr>
            </w:pPr>
            <w:r w:rsidRPr="00BC6789">
              <w:rPr>
                <w:color w:val="auto"/>
                <w:sz w:val="22"/>
                <w:szCs w:val="22"/>
                <w:lang w:val="en-GB"/>
              </w:rPr>
              <w:t>11</w:t>
            </w:r>
          </w:p>
        </w:tc>
        <w:tc>
          <w:tcPr>
            <w:tcW w:w="5307" w:type="dxa"/>
            <w:vAlign w:val="center"/>
          </w:tcPr>
          <w:p w14:paraId="07B087D3" w14:textId="545A7368" w:rsidR="0046256B" w:rsidRPr="0029142A" w:rsidRDefault="0046256B" w:rsidP="00322A3C">
            <w:pPr>
              <w:pStyle w:val="Normal1"/>
              <w:keepLines/>
              <w:widowControl w:val="0"/>
              <w:spacing w:line="276" w:lineRule="auto"/>
              <w:rPr>
                <w:color w:val="auto"/>
                <w:sz w:val="22"/>
                <w:szCs w:val="22"/>
                <w:lang w:val="en-GB"/>
              </w:rPr>
            </w:pPr>
            <w:r>
              <w:rPr>
                <w:color w:val="auto"/>
                <w:sz w:val="22"/>
                <w:szCs w:val="22"/>
                <w:lang w:val="en-GB"/>
              </w:rPr>
              <w:t>Subscriber copy Signature via SMS</w:t>
            </w:r>
          </w:p>
        </w:tc>
        <w:tc>
          <w:tcPr>
            <w:tcW w:w="2127" w:type="dxa"/>
            <w:vAlign w:val="center"/>
          </w:tcPr>
          <w:p w14:paraId="1A575B2F" w14:textId="5BF22A3B" w:rsidR="0046256B" w:rsidRPr="00BC6789" w:rsidRDefault="0046256B" w:rsidP="00322A3C">
            <w:pPr>
              <w:pStyle w:val="Normal1"/>
              <w:keepLines/>
              <w:widowControl w:val="0"/>
              <w:spacing w:line="276" w:lineRule="auto"/>
              <w:jc w:val="center"/>
              <w:rPr>
                <w:color w:val="auto"/>
                <w:sz w:val="22"/>
                <w:szCs w:val="22"/>
                <w:lang w:val="en-GB"/>
              </w:rPr>
            </w:pPr>
            <w:proofErr w:type="spellStart"/>
            <w:r w:rsidRPr="009567C4">
              <w:rPr>
                <w:color w:val="auto"/>
                <w:sz w:val="22"/>
                <w:szCs w:val="22"/>
                <w:lang w:val="en-GB"/>
              </w:rPr>
              <w:t>ISign</w:t>
            </w:r>
            <w:proofErr w:type="spellEnd"/>
          </w:p>
        </w:tc>
      </w:tr>
      <w:tr w:rsidR="0046256B" w:rsidRPr="00BC6789" w14:paraId="39591085" w14:textId="77777777" w:rsidTr="0046256B">
        <w:trPr>
          <w:trHeight w:val="567"/>
        </w:trPr>
        <w:tc>
          <w:tcPr>
            <w:tcW w:w="925" w:type="dxa"/>
            <w:vAlign w:val="center"/>
            <w:hideMark/>
          </w:tcPr>
          <w:p w14:paraId="1316AFFA" w14:textId="77777777" w:rsidR="0046256B" w:rsidRPr="00BC6789" w:rsidRDefault="0046256B" w:rsidP="00322A3C">
            <w:pPr>
              <w:pStyle w:val="Normal1"/>
              <w:keepLines/>
              <w:widowControl w:val="0"/>
              <w:spacing w:line="276" w:lineRule="auto"/>
              <w:jc w:val="center"/>
              <w:rPr>
                <w:color w:val="auto"/>
                <w:sz w:val="22"/>
                <w:szCs w:val="22"/>
                <w:lang w:val="en-GB"/>
              </w:rPr>
            </w:pPr>
            <w:r w:rsidRPr="00BC6789">
              <w:rPr>
                <w:color w:val="auto"/>
                <w:sz w:val="22"/>
                <w:szCs w:val="22"/>
                <w:lang w:val="en-GB"/>
              </w:rPr>
              <w:t>12</w:t>
            </w:r>
          </w:p>
        </w:tc>
        <w:tc>
          <w:tcPr>
            <w:tcW w:w="5307" w:type="dxa"/>
            <w:vAlign w:val="center"/>
          </w:tcPr>
          <w:p w14:paraId="6869BE31" w14:textId="0678AB13" w:rsidR="0046256B" w:rsidRPr="0029142A" w:rsidRDefault="0046256B" w:rsidP="00322A3C">
            <w:pPr>
              <w:pStyle w:val="Normal1"/>
              <w:keepLines/>
              <w:widowControl w:val="0"/>
              <w:spacing w:line="276" w:lineRule="auto"/>
              <w:rPr>
                <w:color w:val="auto"/>
                <w:sz w:val="22"/>
                <w:szCs w:val="22"/>
                <w:lang w:val="en-GB"/>
              </w:rPr>
            </w:pPr>
            <w:r>
              <w:rPr>
                <w:color w:val="auto"/>
                <w:sz w:val="22"/>
                <w:szCs w:val="22"/>
                <w:lang w:val="en-GB"/>
              </w:rPr>
              <w:t>Show personal Signature via SMS</w:t>
            </w:r>
          </w:p>
        </w:tc>
        <w:tc>
          <w:tcPr>
            <w:tcW w:w="2127" w:type="dxa"/>
            <w:vAlign w:val="center"/>
          </w:tcPr>
          <w:p w14:paraId="3BB25CBB" w14:textId="744B0E8B" w:rsidR="0046256B" w:rsidRPr="00BC6789" w:rsidRDefault="0046256B" w:rsidP="00322A3C">
            <w:pPr>
              <w:pStyle w:val="Normal1"/>
              <w:keepLines/>
              <w:widowControl w:val="0"/>
              <w:spacing w:line="276" w:lineRule="auto"/>
              <w:jc w:val="center"/>
              <w:rPr>
                <w:color w:val="auto"/>
                <w:sz w:val="22"/>
                <w:szCs w:val="22"/>
                <w:lang w:val="en-GB"/>
              </w:rPr>
            </w:pPr>
            <w:proofErr w:type="spellStart"/>
            <w:r w:rsidRPr="009567C4">
              <w:rPr>
                <w:color w:val="auto"/>
                <w:sz w:val="22"/>
                <w:szCs w:val="22"/>
                <w:lang w:val="en-GB"/>
              </w:rPr>
              <w:t>ISign</w:t>
            </w:r>
            <w:proofErr w:type="spellEnd"/>
          </w:p>
        </w:tc>
      </w:tr>
      <w:tr w:rsidR="0046256B" w:rsidRPr="00BC6789" w14:paraId="7809B6CB" w14:textId="77777777" w:rsidTr="0046256B">
        <w:trPr>
          <w:trHeight w:val="567"/>
        </w:trPr>
        <w:tc>
          <w:tcPr>
            <w:tcW w:w="925" w:type="dxa"/>
            <w:vAlign w:val="center"/>
            <w:hideMark/>
          </w:tcPr>
          <w:p w14:paraId="28DB862D" w14:textId="77777777" w:rsidR="0046256B" w:rsidRPr="00BC6789" w:rsidRDefault="0046256B" w:rsidP="00322A3C">
            <w:pPr>
              <w:pStyle w:val="Normal1"/>
              <w:keepLines/>
              <w:widowControl w:val="0"/>
              <w:spacing w:line="276" w:lineRule="auto"/>
              <w:jc w:val="center"/>
              <w:rPr>
                <w:color w:val="auto"/>
                <w:sz w:val="22"/>
                <w:szCs w:val="22"/>
                <w:lang w:val="en-GB"/>
              </w:rPr>
            </w:pPr>
            <w:r w:rsidRPr="00BC6789">
              <w:rPr>
                <w:color w:val="auto"/>
                <w:sz w:val="22"/>
                <w:szCs w:val="22"/>
                <w:lang w:val="en-GB"/>
              </w:rPr>
              <w:t>13</w:t>
            </w:r>
          </w:p>
        </w:tc>
        <w:tc>
          <w:tcPr>
            <w:tcW w:w="5307" w:type="dxa"/>
            <w:vAlign w:val="center"/>
          </w:tcPr>
          <w:p w14:paraId="08B7273F" w14:textId="4354792D" w:rsidR="0046256B" w:rsidRPr="0029142A" w:rsidRDefault="0046256B" w:rsidP="00322A3C">
            <w:pPr>
              <w:pStyle w:val="Normal1"/>
              <w:keepLines/>
              <w:widowControl w:val="0"/>
              <w:spacing w:line="276" w:lineRule="auto"/>
              <w:rPr>
                <w:color w:val="auto"/>
                <w:sz w:val="22"/>
                <w:szCs w:val="22"/>
                <w:lang w:val="en-GB"/>
              </w:rPr>
            </w:pPr>
            <w:r>
              <w:rPr>
                <w:color w:val="auto"/>
                <w:sz w:val="22"/>
                <w:szCs w:val="22"/>
                <w:lang w:val="en-GB"/>
              </w:rPr>
              <w:t>Check subscriber’s current package via SMS</w:t>
            </w:r>
          </w:p>
        </w:tc>
        <w:tc>
          <w:tcPr>
            <w:tcW w:w="2127" w:type="dxa"/>
            <w:vAlign w:val="center"/>
          </w:tcPr>
          <w:p w14:paraId="75694685" w14:textId="7E79E706" w:rsidR="0046256B" w:rsidRPr="00BC6789" w:rsidRDefault="0046256B" w:rsidP="00322A3C">
            <w:pPr>
              <w:pStyle w:val="Normal1"/>
              <w:keepLines/>
              <w:widowControl w:val="0"/>
              <w:spacing w:line="276" w:lineRule="auto"/>
              <w:jc w:val="center"/>
              <w:rPr>
                <w:color w:val="auto"/>
                <w:sz w:val="22"/>
                <w:szCs w:val="22"/>
                <w:lang w:val="en-GB"/>
              </w:rPr>
            </w:pPr>
            <w:proofErr w:type="spellStart"/>
            <w:r w:rsidRPr="009567C4">
              <w:rPr>
                <w:color w:val="auto"/>
                <w:sz w:val="22"/>
                <w:szCs w:val="22"/>
                <w:lang w:val="en-GB"/>
              </w:rPr>
              <w:t>ISign</w:t>
            </w:r>
            <w:proofErr w:type="spellEnd"/>
          </w:p>
        </w:tc>
      </w:tr>
      <w:tr w:rsidR="0046256B" w:rsidRPr="00BC6789" w14:paraId="7BF04E83" w14:textId="77777777" w:rsidTr="0046256B">
        <w:trPr>
          <w:trHeight w:val="567"/>
        </w:trPr>
        <w:tc>
          <w:tcPr>
            <w:tcW w:w="925" w:type="dxa"/>
            <w:vAlign w:val="center"/>
            <w:hideMark/>
          </w:tcPr>
          <w:p w14:paraId="27B6787E" w14:textId="77777777" w:rsidR="0046256B" w:rsidRPr="00BC6789" w:rsidRDefault="0046256B" w:rsidP="00322A3C">
            <w:pPr>
              <w:pStyle w:val="Normal1"/>
              <w:keepLines/>
              <w:widowControl w:val="0"/>
              <w:spacing w:line="276" w:lineRule="auto"/>
              <w:jc w:val="center"/>
              <w:rPr>
                <w:color w:val="auto"/>
                <w:sz w:val="22"/>
                <w:szCs w:val="22"/>
                <w:lang w:val="en-GB"/>
              </w:rPr>
            </w:pPr>
            <w:r w:rsidRPr="00BC6789">
              <w:rPr>
                <w:color w:val="auto"/>
                <w:sz w:val="22"/>
                <w:szCs w:val="22"/>
                <w:lang w:val="en-GB"/>
              </w:rPr>
              <w:t>14</w:t>
            </w:r>
          </w:p>
        </w:tc>
        <w:tc>
          <w:tcPr>
            <w:tcW w:w="5307" w:type="dxa"/>
            <w:vAlign w:val="center"/>
          </w:tcPr>
          <w:p w14:paraId="1E393F3C" w14:textId="2FD02A45" w:rsidR="0046256B" w:rsidRPr="0029142A" w:rsidRDefault="0046256B" w:rsidP="00322A3C">
            <w:pPr>
              <w:pStyle w:val="Normal1"/>
              <w:keepLines/>
              <w:widowControl w:val="0"/>
              <w:spacing w:line="276" w:lineRule="auto"/>
              <w:rPr>
                <w:color w:val="auto"/>
                <w:sz w:val="22"/>
                <w:szCs w:val="22"/>
                <w:lang w:val="en-GB"/>
              </w:rPr>
            </w:pPr>
            <w:r>
              <w:rPr>
                <w:color w:val="auto"/>
                <w:sz w:val="22"/>
                <w:szCs w:val="22"/>
                <w:lang w:val="en-GB"/>
              </w:rPr>
              <w:t>Display signature when subscriber make call</w:t>
            </w:r>
          </w:p>
        </w:tc>
        <w:tc>
          <w:tcPr>
            <w:tcW w:w="2127" w:type="dxa"/>
            <w:vAlign w:val="center"/>
          </w:tcPr>
          <w:p w14:paraId="153BA2E3" w14:textId="25A0CD30" w:rsidR="0046256B" w:rsidRPr="00BC6789" w:rsidRDefault="0046256B" w:rsidP="00322A3C">
            <w:pPr>
              <w:pStyle w:val="Normal1"/>
              <w:keepLines/>
              <w:widowControl w:val="0"/>
              <w:spacing w:line="276" w:lineRule="auto"/>
              <w:jc w:val="center"/>
              <w:rPr>
                <w:color w:val="auto"/>
                <w:sz w:val="22"/>
                <w:szCs w:val="22"/>
                <w:lang w:val="en-GB"/>
              </w:rPr>
            </w:pPr>
            <w:proofErr w:type="spellStart"/>
            <w:r w:rsidRPr="009567C4">
              <w:rPr>
                <w:color w:val="auto"/>
                <w:sz w:val="22"/>
                <w:szCs w:val="22"/>
                <w:lang w:val="en-GB"/>
              </w:rPr>
              <w:t>ISign</w:t>
            </w:r>
            <w:proofErr w:type="spellEnd"/>
          </w:p>
        </w:tc>
      </w:tr>
      <w:tr w:rsidR="0046256B" w:rsidRPr="00BC6789" w14:paraId="03D1F96F" w14:textId="77777777" w:rsidTr="0046256B">
        <w:trPr>
          <w:trHeight w:val="567"/>
        </w:trPr>
        <w:tc>
          <w:tcPr>
            <w:tcW w:w="925" w:type="dxa"/>
            <w:vAlign w:val="center"/>
            <w:hideMark/>
          </w:tcPr>
          <w:p w14:paraId="4D00E882" w14:textId="77777777" w:rsidR="0046256B" w:rsidRPr="00BC6789" w:rsidRDefault="0046256B" w:rsidP="00322A3C">
            <w:pPr>
              <w:pStyle w:val="Normal1"/>
              <w:keepLines/>
              <w:widowControl w:val="0"/>
              <w:spacing w:line="276" w:lineRule="auto"/>
              <w:jc w:val="center"/>
              <w:rPr>
                <w:color w:val="auto"/>
                <w:sz w:val="22"/>
                <w:szCs w:val="22"/>
                <w:lang w:val="en-GB"/>
              </w:rPr>
            </w:pPr>
            <w:r w:rsidRPr="00BC6789">
              <w:rPr>
                <w:color w:val="auto"/>
                <w:sz w:val="22"/>
                <w:szCs w:val="22"/>
                <w:lang w:val="en-GB"/>
              </w:rPr>
              <w:t>15</w:t>
            </w:r>
          </w:p>
        </w:tc>
        <w:tc>
          <w:tcPr>
            <w:tcW w:w="5307" w:type="dxa"/>
            <w:vAlign w:val="center"/>
          </w:tcPr>
          <w:p w14:paraId="36E492E0" w14:textId="41D70011" w:rsidR="0046256B" w:rsidRPr="0029142A" w:rsidRDefault="0046256B" w:rsidP="00322A3C">
            <w:pPr>
              <w:pStyle w:val="Normal1"/>
              <w:keepLines/>
              <w:widowControl w:val="0"/>
              <w:spacing w:line="276" w:lineRule="auto"/>
              <w:rPr>
                <w:color w:val="auto"/>
                <w:sz w:val="22"/>
                <w:szCs w:val="22"/>
                <w:lang w:val="en-GB"/>
              </w:rPr>
            </w:pPr>
            <w:r>
              <w:rPr>
                <w:color w:val="auto"/>
                <w:sz w:val="22"/>
                <w:szCs w:val="22"/>
                <w:lang w:val="en-GB"/>
              </w:rPr>
              <w:t>Check subscriber history via CMS</w:t>
            </w:r>
          </w:p>
        </w:tc>
        <w:tc>
          <w:tcPr>
            <w:tcW w:w="2127" w:type="dxa"/>
            <w:vAlign w:val="center"/>
          </w:tcPr>
          <w:p w14:paraId="79E3786F" w14:textId="24EC7598" w:rsidR="0046256B" w:rsidRPr="00BC6789" w:rsidRDefault="0046256B" w:rsidP="00322A3C">
            <w:pPr>
              <w:pStyle w:val="Normal1"/>
              <w:keepLines/>
              <w:widowControl w:val="0"/>
              <w:spacing w:line="276" w:lineRule="auto"/>
              <w:jc w:val="center"/>
              <w:rPr>
                <w:color w:val="auto"/>
                <w:sz w:val="22"/>
                <w:szCs w:val="22"/>
                <w:lang w:val="en-GB"/>
              </w:rPr>
            </w:pPr>
            <w:proofErr w:type="spellStart"/>
            <w:r w:rsidRPr="009567C4">
              <w:rPr>
                <w:color w:val="auto"/>
                <w:sz w:val="22"/>
                <w:szCs w:val="22"/>
                <w:lang w:val="en-GB"/>
              </w:rPr>
              <w:t>ISign</w:t>
            </w:r>
            <w:proofErr w:type="spellEnd"/>
          </w:p>
        </w:tc>
      </w:tr>
      <w:tr w:rsidR="0046256B" w:rsidRPr="00BC6789" w14:paraId="594D1284" w14:textId="77777777" w:rsidTr="0046256B">
        <w:trPr>
          <w:trHeight w:val="567"/>
        </w:trPr>
        <w:tc>
          <w:tcPr>
            <w:tcW w:w="925" w:type="dxa"/>
            <w:vAlign w:val="center"/>
            <w:hideMark/>
          </w:tcPr>
          <w:p w14:paraId="295AD644" w14:textId="77777777" w:rsidR="0046256B" w:rsidRPr="00BC6789" w:rsidRDefault="0046256B" w:rsidP="00322A3C">
            <w:pPr>
              <w:pStyle w:val="Normal1"/>
              <w:keepLines/>
              <w:widowControl w:val="0"/>
              <w:spacing w:line="276" w:lineRule="auto"/>
              <w:jc w:val="center"/>
              <w:rPr>
                <w:color w:val="auto"/>
                <w:sz w:val="22"/>
                <w:szCs w:val="22"/>
                <w:lang w:val="en-GB"/>
              </w:rPr>
            </w:pPr>
            <w:r w:rsidRPr="00BC6789">
              <w:rPr>
                <w:color w:val="auto"/>
                <w:sz w:val="22"/>
                <w:szCs w:val="22"/>
                <w:lang w:val="en-GB"/>
              </w:rPr>
              <w:t>16</w:t>
            </w:r>
          </w:p>
        </w:tc>
        <w:tc>
          <w:tcPr>
            <w:tcW w:w="5307" w:type="dxa"/>
            <w:vAlign w:val="center"/>
          </w:tcPr>
          <w:p w14:paraId="1CDAB85C" w14:textId="1B3C1384" w:rsidR="0046256B" w:rsidRPr="0029142A" w:rsidRDefault="0046256B" w:rsidP="00322A3C">
            <w:pPr>
              <w:pStyle w:val="Normal1"/>
              <w:keepLines/>
              <w:widowControl w:val="0"/>
              <w:spacing w:line="276" w:lineRule="auto"/>
              <w:rPr>
                <w:color w:val="auto"/>
                <w:sz w:val="22"/>
                <w:szCs w:val="22"/>
                <w:lang w:val="en-GB"/>
              </w:rPr>
            </w:pPr>
            <w:r>
              <w:rPr>
                <w:color w:val="auto"/>
                <w:sz w:val="22"/>
                <w:szCs w:val="22"/>
                <w:lang w:val="en-GB"/>
              </w:rPr>
              <w:t>Check subscriber status via CMS</w:t>
            </w:r>
          </w:p>
        </w:tc>
        <w:tc>
          <w:tcPr>
            <w:tcW w:w="2127" w:type="dxa"/>
            <w:vAlign w:val="center"/>
          </w:tcPr>
          <w:p w14:paraId="0DDF6A1B" w14:textId="1E6802D1" w:rsidR="0046256B" w:rsidRPr="00BC6789" w:rsidRDefault="0046256B" w:rsidP="00322A3C">
            <w:pPr>
              <w:pStyle w:val="Normal1"/>
              <w:keepLines/>
              <w:widowControl w:val="0"/>
              <w:spacing w:line="276" w:lineRule="auto"/>
              <w:jc w:val="center"/>
              <w:rPr>
                <w:color w:val="auto"/>
                <w:sz w:val="22"/>
                <w:szCs w:val="22"/>
                <w:lang w:val="en-GB"/>
              </w:rPr>
            </w:pPr>
            <w:proofErr w:type="spellStart"/>
            <w:r w:rsidRPr="009567C4">
              <w:rPr>
                <w:color w:val="auto"/>
                <w:sz w:val="22"/>
                <w:szCs w:val="22"/>
                <w:lang w:val="en-GB"/>
              </w:rPr>
              <w:t>ISign</w:t>
            </w:r>
            <w:proofErr w:type="spellEnd"/>
          </w:p>
        </w:tc>
      </w:tr>
      <w:tr w:rsidR="0046256B" w:rsidRPr="00BC6789" w14:paraId="08561B4C" w14:textId="77777777" w:rsidTr="0046256B">
        <w:trPr>
          <w:trHeight w:val="567"/>
        </w:trPr>
        <w:tc>
          <w:tcPr>
            <w:tcW w:w="925" w:type="dxa"/>
            <w:vAlign w:val="center"/>
            <w:hideMark/>
          </w:tcPr>
          <w:p w14:paraId="7CCC3D79" w14:textId="77777777" w:rsidR="0046256B" w:rsidRPr="00BC6789" w:rsidRDefault="0046256B" w:rsidP="00322A3C">
            <w:pPr>
              <w:pStyle w:val="Normal1"/>
              <w:keepLines/>
              <w:widowControl w:val="0"/>
              <w:spacing w:line="276" w:lineRule="auto"/>
              <w:jc w:val="center"/>
              <w:rPr>
                <w:color w:val="auto"/>
                <w:sz w:val="22"/>
                <w:szCs w:val="22"/>
                <w:lang w:val="en-GB"/>
              </w:rPr>
            </w:pPr>
            <w:r w:rsidRPr="00BC6789">
              <w:rPr>
                <w:color w:val="auto"/>
                <w:sz w:val="22"/>
                <w:szCs w:val="22"/>
                <w:lang w:val="en-GB"/>
              </w:rPr>
              <w:t>17</w:t>
            </w:r>
          </w:p>
        </w:tc>
        <w:tc>
          <w:tcPr>
            <w:tcW w:w="5307" w:type="dxa"/>
            <w:vAlign w:val="center"/>
          </w:tcPr>
          <w:p w14:paraId="425F3DE6" w14:textId="7478CD30" w:rsidR="0046256B" w:rsidRPr="0029142A" w:rsidRDefault="0046256B" w:rsidP="00322A3C">
            <w:pPr>
              <w:pStyle w:val="Normal1"/>
              <w:keepLines/>
              <w:widowControl w:val="0"/>
              <w:spacing w:line="276" w:lineRule="auto"/>
              <w:rPr>
                <w:color w:val="auto"/>
                <w:sz w:val="22"/>
                <w:szCs w:val="22"/>
                <w:lang w:val="en-GB"/>
              </w:rPr>
            </w:pPr>
            <w:r>
              <w:rPr>
                <w:color w:val="auto"/>
                <w:sz w:val="22"/>
                <w:szCs w:val="22"/>
                <w:lang w:val="en-GB"/>
              </w:rPr>
              <w:t>Get daily revenue via CMS</w:t>
            </w:r>
          </w:p>
        </w:tc>
        <w:tc>
          <w:tcPr>
            <w:tcW w:w="2127" w:type="dxa"/>
            <w:vAlign w:val="center"/>
          </w:tcPr>
          <w:p w14:paraId="5AD66C9B" w14:textId="1740C10E" w:rsidR="0046256B" w:rsidRPr="00BC6789" w:rsidRDefault="0046256B" w:rsidP="00322A3C">
            <w:pPr>
              <w:pStyle w:val="Normal1"/>
              <w:keepLines/>
              <w:widowControl w:val="0"/>
              <w:spacing w:line="276" w:lineRule="auto"/>
              <w:jc w:val="center"/>
              <w:rPr>
                <w:color w:val="auto"/>
                <w:sz w:val="22"/>
                <w:szCs w:val="22"/>
                <w:lang w:val="en-GB"/>
              </w:rPr>
            </w:pPr>
            <w:proofErr w:type="spellStart"/>
            <w:r w:rsidRPr="009567C4">
              <w:rPr>
                <w:color w:val="auto"/>
                <w:sz w:val="22"/>
                <w:szCs w:val="22"/>
                <w:lang w:val="en-GB"/>
              </w:rPr>
              <w:t>ISign</w:t>
            </w:r>
            <w:proofErr w:type="spellEnd"/>
          </w:p>
        </w:tc>
      </w:tr>
    </w:tbl>
    <w:p w14:paraId="0FE02BCB" w14:textId="77777777" w:rsidR="00381FB3" w:rsidRDefault="00381FB3" w:rsidP="00381FB3">
      <w:pPr>
        <w:rPr>
          <w:color w:val="000000"/>
          <w:sz w:val="24"/>
          <w:szCs w:val="24"/>
        </w:rPr>
      </w:pPr>
    </w:p>
    <w:p w14:paraId="57FA5764" w14:textId="77777777" w:rsidR="00BB6184" w:rsidRDefault="00BB6184" w:rsidP="00381FB3">
      <w:pPr>
        <w:rPr>
          <w:color w:val="000000"/>
          <w:sz w:val="24"/>
          <w:szCs w:val="24"/>
        </w:rPr>
      </w:pPr>
    </w:p>
    <w:p w14:paraId="48C4261D" w14:textId="77777777" w:rsidR="0046256B" w:rsidRDefault="0046256B" w:rsidP="00381FB3">
      <w:pPr>
        <w:rPr>
          <w:color w:val="000000"/>
          <w:sz w:val="24"/>
          <w:szCs w:val="24"/>
        </w:rPr>
      </w:pPr>
    </w:p>
    <w:p w14:paraId="27F6F343" w14:textId="77777777" w:rsidR="0046256B" w:rsidRDefault="0046256B" w:rsidP="00381FB3">
      <w:pPr>
        <w:rPr>
          <w:color w:val="000000"/>
          <w:sz w:val="24"/>
          <w:szCs w:val="24"/>
        </w:rPr>
      </w:pPr>
    </w:p>
    <w:p w14:paraId="53DF679B" w14:textId="77777777" w:rsidR="003E0D7C" w:rsidRDefault="003E0D7C" w:rsidP="003E0D7C">
      <w:pPr>
        <w:pStyle w:val="Heading1"/>
        <w:rPr>
          <w:color w:val="000000"/>
          <w:lang w:val="en-US"/>
        </w:rPr>
      </w:pPr>
      <w:r w:rsidRPr="00BC6789">
        <w:rPr>
          <w:highlight w:val="yellow"/>
        </w:rPr>
        <w:lastRenderedPageBreak/>
        <w:t>ANNEX 3:   TECHNICAL SPECIFICATIONS</w:t>
      </w:r>
    </w:p>
    <w:p w14:paraId="3C967F5F" w14:textId="49E9C245" w:rsidR="003E0D7C" w:rsidRDefault="003E0D7C" w:rsidP="003E0D7C">
      <w:pPr>
        <w:jc w:val="center"/>
        <w:rPr>
          <w:b/>
          <w:i/>
        </w:rPr>
      </w:pPr>
      <w:r w:rsidRPr="003E0D7C">
        <w:rPr>
          <w:b/>
          <w:i/>
        </w:rPr>
        <w:t xml:space="preserve">(In attachment to the Contract No. </w:t>
      </w:r>
      <w:r w:rsidRPr="003E0D7C">
        <w:rPr>
          <w:b/>
          <w:i/>
          <w:highlight w:val="yellow"/>
        </w:rPr>
        <w:t>0</w:t>
      </w:r>
      <w:r w:rsidR="002C2B0D">
        <w:rPr>
          <w:b/>
          <w:i/>
        </w:rPr>
        <w:t>8</w:t>
      </w:r>
      <w:r w:rsidRPr="003E0D7C">
        <w:rPr>
          <w:b/>
          <w:i/>
        </w:rPr>
        <w:t xml:space="preserve">/2020/VTP- </w:t>
      </w:r>
      <w:r w:rsidR="00BC6789">
        <w:rPr>
          <w:b/>
          <w:i/>
        </w:rPr>
        <w:t>ARABICA</w:t>
      </w:r>
      <w:r w:rsidRPr="003E0D7C">
        <w:rPr>
          <w:b/>
          <w:i/>
        </w:rPr>
        <w:t xml:space="preserve">/ SOFTWARE PACKAGE FOR </w:t>
      </w:r>
      <w:r w:rsidR="00CC2A02">
        <w:rPr>
          <w:b/>
          <w:i/>
        </w:rPr>
        <w:t>CALLBASE SY</w:t>
      </w:r>
      <w:r w:rsidR="002C2B0D">
        <w:rPr>
          <w:b/>
          <w:i/>
        </w:rPr>
        <w:t>S</w:t>
      </w:r>
      <w:r w:rsidR="00CC2A02">
        <w:rPr>
          <w:b/>
          <w:i/>
        </w:rPr>
        <w:t>TEM</w:t>
      </w:r>
      <w:r w:rsidRPr="003E0D7C">
        <w:rPr>
          <w:b/>
          <w:i/>
        </w:rPr>
        <w:t>)</w:t>
      </w:r>
    </w:p>
    <w:p w14:paraId="643E9391" w14:textId="77777777" w:rsidR="00EF2E0A" w:rsidRPr="003E0D7C" w:rsidRDefault="00EF2E0A" w:rsidP="003E0D7C">
      <w:pPr>
        <w:jc w:val="center"/>
        <w:rPr>
          <w:b/>
          <w:i/>
          <w:sz w:val="24"/>
          <w:szCs w:val="24"/>
        </w:rPr>
      </w:pPr>
    </w:p>
    <w:tbl>
      <w:tblPr>
        <w:tblW w:w="9450" w:type="dxa"/>
        <w:tblInd w:w="-365" w:type="dxa"/>
        <w:tbl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insideH w:val="single" w:sz="4" w:space="0" w:color="3B3838" w:themeColor="background2" w:themeShade="40"/>
          <w:insideV w:val="single" w:sz="4" w:space="0" w:color="3B3838" w:themeColor="background2" w:themeShade="40"/>
        </w:tblBorders>
        <w:tblLook w:val="04A0" w:firstRow="1" w:lastRow="0" w:firstColumn="1" w:lastColumn="0" w:noHBand="0" w:noVBand="1"/>
      </w:tblPr>
      <w:tblGrid>
        <w:gridCol w:w="720"/>
        <w:gridCol w:w="3780"/>
        <w:gridCol w:w="4950"/>
      </w:tblGrid>
      <w:tr w:rsidR="003E0D7C" w14:paraId="3FFCECD4" w14:textId="77777777" w:rsidTr="003E0D7C">
        <w:trPr>
          <w:trHeight w:val="567"/>
        </w:trPr>
        <w:tc>
          <w:tcPr>
            <w:tcW w:w="720" w:type="dxa"/>
            <w:shd w:val="clear" w:color="auto" w:fill="3B3838" w:themeFill="background2" w:themeFillShade="40"/>
            <w:vAlign w:val="center"/>
            <w:hideMark/>
          </w:tcPr>
          <w:p w14:paraId="74A14616" w14:textId="77777777" w:rsidR="003E0D7C" w:rsidRPr="003E0D7C" w:rsidRDefault="003E0D7C" w:rsidP="003E0D7C">
            <w:pPr>
              <w:pStyle w:val="Normal1"/>
              <w:keepLines/>
              <w:widowControl w:val="0"/>
              <w:spacing w:line="276" w:lineRule="auto"/>
              <w:jc w:val="center"/>
              <w:rPr>
                <w:b/>
                <w:color w:val="FFFFFF" w:themeColor="background1"/>
                <w:sz w:val="26"/>
                <w:szCs w:val="26"/>
              </w:rPr>
            </w:pPr>
            <w:r w:rsidRPr="003E0D7C">
              <w:rPr>
                <w:b/>
                <w:color w:val="FFFFFF" w:themeColor="background1"/>
                <w:sz w:val="26"/>
                <w:szCs w:val="26"/>
              </w:rPr>
              <w:t>#</w:t>
            </w:r>
          </w:p>
        </w:tc>
        <w:tc>
          <w:tcPr>
            <w:tcW w:w="3780" w:type="dxa"/>
            <w:shd w:val="clear" w:color="auto" w:fill="3B3838" w:themeFill="background2" w:themeFillShade="40"/>
            <w:vAlign w:val="center"/>
            <w:hideMark/>
          </w:tcPr>
          <w:p w14:paraId="6A0AAD61" w14:textId="77777777" w:rsidR="003E0D7C" w:rsidRPr="003E0D7C" w:rsidRDefault="003E0D7C" w:rsidP="003E0D7C">
            <w:pPr>
              <w:pStyle w:val="Normal1"/>
              <w:keepLines/>
              <w:widowControl w:val="0"/>
              <w:spacing w:line="276" w:lineRule="auto"/>
              <w:jc w:val="center"/>
              <w:rPr>
                <w:b/>
                <w:color w:val="FFFFFF" w:themeColor="background1"/>
                <w:sz w:val="26"/>
                <w:szCs w:val="26"/>
              </w:rPr>
            </w:pPr>
            <w:r w:rsidRPr="003E0D7C">
              <w:rPr>
                <w:b/>
                <w:color w:val="FFFFFF" w:themeColor="background1"/>
                <w:sz w:val="26"/>
                <w:szCs w:val="26"/>
              </w:rPr>
              <w:t>SPECIFICATIONS</w:t>
            </w:r>
          </w:p>
        </w:tc>
        <w:tc>
          <w:tcPr>
            <w:tcW w:w="4950" w:type="dxa"/>
            <w:shd w:val="clear" w:color="auto" w:fill="3B3838" w:themeFill="background2" w:themeFillShade="40"/>
            <w:vAlign w:val="center"/>
            <w:hideMark/>
          </w:tcPr>
          <w:p w14:paraId="36AA57F4" w14:textId="77777777" w:rsidR="003E0D7C" w:rsidRPr="003E0D7C" w:rsidRDefault="003E0D7C" w:rsidP="003E0D7C">
            <w:pPr>
              <w:pStyle w:val="Normal1"/>
              <w:keepLines/>
              <w:widowControl w:val="0"/>
              <w:spacing w:line="276" w:lineRule="auto"/>
              <w:jc w:val="center"/>
              <w:rPr>
                <w:b/>
                <w:color w:val="FFFFFF" w:themeColor="background1"/>
                <w:sz w:val="26"/>
                <w:szCs w:val="26"/>
              </w:rPr>
            </w:pPr>
            <w:r w:rsidRPr="003E0D7C">
              <w:rPr>
                <w:b/>
                <w:color w:val="FFFFFF" w:themeColor="background1"/>
                <w:sz w:val="26"/>
                <w:szCs w:val="26"/>
              </w:rPr>
              <w:t>DETAIL</w:t>
            </w:r>
          </w:p>
        </w:tc>
      </w:tr>
      <w:tr w:rsidR="003E0D7C" w:rsidRPr="003E0D7C" w14:paraId="1B457CB8" w14:textId="77777777" w:rsidTr="003E0D7C">
        <w:trPr>
          <w:trHeight w:val="567"/>
        </w:trPr>
        <w:tc>
          <w:tcPr>
            <w:tcW w:w="720" w:type="dxa"/>
            <w:vAlign w:val="center"/>
            <w:hideMark/>
          </w:tcPr>
          <w:p w14:paraId="65165BE7" w14:textId="77777777" w:rsidR="003E0D7C" w:rsidRDefault="003E0D7C" w:rsidP="003E0D7C">
            <w:pPr>
              <w:jc w:val="center"/>
              <w:rPr>
                <w:sz w:val="24"/>
                <w:szCs w:val="24"/>
              </w:rPr>
            </w:pPr>
            <w:r>
              <w:t>1</w:t>
            </w:r>
          </w:p>
        </w:tc>
        <w:tc>
          <w:tcPr>
            <w:tcW w:w="3780" w:type="dxa"/>
            <w:vAlign w:val="center"/>
            <w:hideMark/>
          </w:tcPr>
          <w:p w14:paraId="25D0936C" w14:textId="77777777" w:rsidR="003E0D7C" w:rsidRDefault="003E0D7C" w:rsidP="003E0D7C">
            <w:pPr>
              <w:jc w:val="left"/>
            </w:pPr>
            <w:r>
              <w:t>Support to run in active-active mode, multi node at the same time</w:t>
            </w:r>
          </w:p>
        </w:tc>
        <w:tc>
          <w:tcPr>
            <w:tcW w:w="4950" w:type="dxa"/>
            <w:vAlign w:val="center"/>
            <w:hideMark/>
          </w:tcPr>
          <w:p w14:paraId="4DB45C4B" w14:textId="77777777" w:rsidR="003E0D7C" w:rsidRDefault="003E0D7C" w:rsidP="003E0D7C">
            <w:pPr>
              <w:jc w:val="left"/>
            </w:pPr>
            <w:r>
              <w:t>System has to support load balance and backup (when 1 node down, transaction will moved to other node)</w:t>
            </w:r>
          </w:p>
        </w:tc>
      </w:tr>
      <w:tr w:rsidR="003E0D7C" w:rsidRPr="003E0D7C" w14:paraId="262AAB4C" w14:textId="77777777" w:rsidTr="003E0D7C">
        <w:trPr>
          <w:trHeight w:val="567"/>
        </w:trPr>
        <w:tc>
          <w:tcPr>
            <w:tcW w:w="720" w:type="dxa"/>
            <w:vAlign w:val="center"/>
            <w:hideMark/>
          </w:tcPr>
          <w:p w14:paraId="53CE5FA8" w14:textId="77777777" w:rsidR="003E0D7C" w:rsidRDefault="003E0D7C" w:rsidP="003E0D7C">
            <w:pPr>
              <w:jc w:val="center"/>
            </w:pPr>
            <w:r>
              <w:t>2</w:t>
            </w:r>
          </w:p>
        </w:tc>
        <w:tc>
          <w:tcPr>
            <w:tcW w:w="3780" w:type="dxa"/>
            <w:vAlign w:val="center"/>
            <w:hideMark/>
          </w:tcPr>
          <w:p w14:paraId="2F388E71" w14:textId="77777777" w:rsidR="003E0D7C" w:rsidRDefault="003E0D7C" w:rsidP="003E0D7C">
            <w:pPr>
              <w:jc w:val="left"/>
            </w:pPr>
            <w:r>
              <w:t>Response time of all function must be less than 5s</w:t>
            </w:r>
          </w:p>
        </w:tc>
        <w:tc>
          <w:tcPr>
            <w:tcW w:w="4950" w:type="dxa"/>
            <w:vAlign w:val="center"/>
            <w:hideMark/>
          </w:tcPr>
          <w:p w14:paraId="27BD59CC" w14:textId="77777777" w:rsidR="003E0D7C" w:rsidRDefault="003E0D7C" w:rsidP="003E0D7C">
            <w:pPr>
              <w:jc w:val="left"/>
            </w:pPr>
            <w:r>
              <w:t>Duration from user send request to time to receive less than 5s</w:t>
            </w:r>
          </w:p>
        </w:tc>
      </w:tr>
      <w:tr w:rsidR="003E0D7C" w:rsidRPr="003E0D7C" w14:paraId="612A7871" w14:textId="77777777" w:rsidTr="003E0D7C">
        <w:trPr>
          <w:trHeight w:val="567"/>
        </w:trPr>
        <w:tc>
          <w:tcPr>
            <w:tcW w:w="720" w:type="dxa"/>
            <w:vAlign w:val="center"/>
            <w:hideMark/>
          </w:tcPr>
          <w:p w14:paraId="4DFA4153" w14:textId="77777777" w:rsidR="003E0D7C" w:rsidRDefault="003E0D7C" w:rsidP="003E0D7C">
            <w:pPr>
              <w:jc w:val="center"/>
            </w:pPr>
            <w:r>
              <w:t>3</w:t>
            </w:r>
          </w:p>
        </w:tc>
        <w:tc>
          <w:tcPr>
            <w:tcW w:w="3780" w:type="dxa"/>
            <w:vAlign w:val="center"/>
            <w:hideMark/>
          </w:tcPr>
          <w:p w14:paraId="14A8E845" w14:textId="77777777" w:rsidR="003E0D7C" w:rsidRDefault="003E0D7C" w:rsidP="003E0D7C">
            <w:pPr>
              <w:jc w:val="left"/>
            </w:pPr>
            <w:r>
              <w:t>All error message must include error code and List of error code must be declared</w:t>
            </w:r>
          </w:p>
        </w:tc>
        <w:tc>
          <w:tcPr>
            <w:tcW w:w="4950" w:type="dxa"/>
            <w:vAlign w:val="center"/>
            <w:hideMark/>
          </w:tcPr>
          <w:p w14:paraId="2EE34DC0" w14:textId="77777777" w:rsidR="003E0D7C" w:rsidRDefault="003E0D7C" w:rsidP="003E0D7C">
            <w:pPr>
              <w:jc w:val="left"/>
            </w:pPr>
            <w:r>
              <w:t>When on transaction fail, error message must be showed with error code</w:t>
            </w:r>
          </w:p>
        </w:tc>
      </w:tr>
      <w:tr w:rsidR="003E0D7C" w14:paraId="0256B9AE" w14:textId="77777777" w:rsidTr="003E0D7C">
        <w:trPr>
          <w:trHeight w:val="567"/>
        </w:trPr>
        <w:tc>
          <w:tcPr>
            <w:tcW w:w="720" w:type="dxa"/>
            <w:vAlign w:val="center"/>
            <w:hideMark/>
          </w:tcPr>
          <w:p w14:paraId="355B8202" w14:textId="77777777" w:rsidR="003E0D7C" w:rsidRDefault="003E0D7C" w:rsidP="003E0D7C">
            <w:pPr>
              <w:jc w:val="center"/>
            </w:pPr>
            <w:r>
              <w:t>4</w:t>
            </w:r>
          </w:p>
        </w:tc>
        <w:tc>
          <w:tcPr>
            <w:tcW w:w="3780" w:type="dxa"/>
            <w:vAlign w:val="center"/>
            <w:hideMark/>
          </w:tcPr>
          <w:p w14:paraId="12976357" w14:textId="77777777" w:rsidR="003E0D7C" w:rsidRDefault="003E0D7C" w:rsidP="003E0D7C">
            <w:pPr>
              <w:jc w:val="left"/>
            </w:pPr>
            <w:r>
              <w:t>All exception, errors of system have to be stored into database</w:t>
            </w:r>
          </w:p>
        </w:tc>
        <w:tc>
          <w:tcPr>
            <w:tcW w:w="4950" w:type="dxa"/>
            <w:vAlign w:val="center"/>
            <w:hideMark/>
          </w:tcPr>
          <w:p w14:paraId="54CAC790" w14:textId="77777777" w:rsidR="003E0D7C" w:rsidRDefault="003E0D7C" w:rsidP="003E0D7C">
            <w:pPr>
              <w:jc w:val="left"/>
            </w:pPr>
            <w:r>
              <w:t>When system has error, exception with connection, interaction, internal. System can send alert to configured number</w:t>
            </w:r>
          </w:p>
        </w:tc>
      </w:tr>
      <w:tr w:rsidR="003E0D7C" w:rsidRPr="003E0D7C" w14:paraId="7FD8846A" w14:textId="77777777" w:rsidTr="003E0D7C">
        <w:trPr>
          <w:trHeight w:val="567"/>
        </w:trPr>
        <w:tc>
          <w:tcPr>
            <w:tcW w:w="720" w:type="dxa"/>
            <w:vAlign w:val="center"/>
            <w:hideMark/>
          </w:tcPr>
          <w:p w14:paraId="541DFDEF" w14:textId="77777777" w:rsidR="003E0D7C" w:rsidRDefault="003E0D7C" w:rsidP="003E0D7C">
            <w:pPr>
              <w:jc w:val="center"/>
            </w:pPr>
            <w:r>
              <w:t>5</w:t>
            </w:r>
          </w:p>
        </w:tc>
        <w:tc>
          <w:tcPr>
            <w:tcW w:w="3780" w:type="dxa"/>
            <w:vAlign w:val="center"/>
            <w:hideMark/>
          </w:tcPr>
          <w:p w14:paraId="1DA39CBC" w14:textId="77777777" w:rsidR="003E0D7C" w:rsidRDefault="003E0D7C" w:rsidP="003E0D7C">
            <w:pPr>
              <w:jc w:val="left"/>
            </w:pPr>
            <w:r>
              <w:t>Ensure security for Webservice, system has to authenticate client by User/pass, IP</w:t>
            </w:r>
          </w:p>
        </w:tc>
        <w:tc>
          <w:tcPr>
            <w:tcW w:w="4950" w:type="dxa"/>
            <w:vAlign w:val="center"/>
            <w:hideMark/>
          </w:tcPr>
          <w:p w14:paraId="28C099C9" w14:textId="77777777" w:rsidR="003E0D7C" w:rsidRDefault="003E0D7C" w:rsidP="003E0D7C">
            <w:pPr>
              <w:jc w:val="left"/>
            </w:pPr>
            <w:r>
              <w:t>System validate user, password and client IP when receive request</w:t>
            </w:r>
          </w:p>
        </w:tc>
      </w:tr>
      <w:tr w:rsidR="003E0D7C" w:rsidRPr="003E0D7C" w14:paraId="2789A2F7" w14:textId="77777777" w:rsidTr="003E0D7C">
        <w:trPr>
          <w:trHeight w:val="567"/>
        </w:trPr>
        <w:tc>
          <w:tcPr>
            <w:tcW w:w="720" w:type="dxa"/>
            <w:vAlign w:val="center"/>
            <w:hideMark/>
          </w:tcPr>
          <w:p w14:paraId="305CD2E4" w14:textId="77777777" w:rsidR="003E0D7C" w:rsidRDefault="003E0D7C" w:rsidP="003E0D7C">
            <w:pPr>
              <w:jc w:val="center"/>
            </w:pPr>
            <w:r>
              <w:t>6</w:t>
            </w:r>
          </w:p>
        </w:tc>
        <w:tc>
          <w:tcPr>
            <w:tcW w:w="3780" w:type="dxa"/>
            <w:vAlign w:val="center"/>
            <w:hideMark/>
          </w:tcPr>
          <w:p w14:paraId="74133C62" w14:textId="77777777" w:rsidR="003E0D7C" w:rsidRDefault="003E0D7C" w:rsidP="003E0D7C">
            <w:pPr>
              <w:jc w:val="left"/>
            </w:pPr>
            <w:r>
              <w:t>All transaction (success and fail) has to be stored into database</w:t>
            </w:r>
          </w:p>
        </w:tc>
        <w:tc>
          <w:tcPr>
            <w:tcW w:w="4950" w:type="dxa"/>
            <w:vAlign w:val="center"/>
            <w:hideMark/>
          </w:tcPr>
          <w:p w14:paraId="2100675A" w14:textId="77777777" w:rsidR="003E0D7C" w:rsidRDefault="003E0D7C" w:rsidP="003E0D7C">
            <w:pPr>
              <w:jc w:val="left"/>
            </w:pPr>
            <w:r>
              <w:t>All transaction received from client has to be stored in Database even system has error of processing</w:t>
            </w:r>
          </w:p>
        </w:tc>
      </w:tr>
      <w:tr w:rsidR="003E0D7C" w:rsidRPr="003E0D7C" w14:paraId="11F23000" w14:textId="77777777" w:rsidTr="003E0D7C">
        <w:trPr>
          <w:trHeight w:val="567"/>
        </w:trPr>
        <w:tc>
          <w:tcPr>
            <w:tcW w:w="720" w:type="dxa"/>
            <w:vAlign w:val="center"/>
            <w:hideMark/>
          </w:tcPr>
          <w:p w14:paraId="663DAB34" w14:textId="77777777" w:rsidR="003E0D7C" w:rsidRDefault="003E0D7C" w:rsidP="003E0D7C">
            <w:pPr>
              <w:jc w:val="center"/>
            </w:pPr>
            <w:r>
              <w:t>7</w:t>
            </w:r>
          </w:p>
        </w:tc>
        <w:tc>
          <w:tcPr>
            <w:tcW w:w="3780" w:type="dxa"/>
            <w:vAlign w:val="center"/>
            <w:hideMark/>
          </w:tcPr>
          <w:p w14:paraId="66DDE30C" w14:textId="77777777" w:rsidR="003E0D7C" w:rsidRDefault="003E0D7C" w:rsidP="003E0D7C">
            <w:pPr>
              <w:jc w:val="left"/>
            </w:pPr>
            <w:r>
              <w:t>System has no SQL Injection error</w:t>
            </w:r>
          </w:p>
        </w:tc>
        <w:tc>
          <w:tcPr>
            <w:tcW w:w="4950" w:type="dxa"/>
            <w:vAlign w:val="center"/>
            <w:hideMark/>
          </w:tcPr>
          <w:p w14:paraId="695C388C" w14:textId="77777777" w:rsidR="003E0D7C" w:rsidRDefault="003E0D7C" w:rsidP="003E0D7C">
            <w:pPr>
              <w:jc w:val="left"/>
            </w:pPr>
            <w:r>
              <w:t>All SQL injection error have to be fixed</w:t>
            </w:r>
          </w:p>
        </w:tc>
      </w:tr>
      <w:tr w:rsidR="003E0D7C" w:rsidRPr="003E0D7C" w14:paraId="128BD613" w14:textId="77777777" w:rsidTr="003E0D7C">
        <w:trPr>
          <w:trHeight w:val="567"/>
        </w:trPr>
        <w:tc>
          <w:tcPr>
            <w:tcW w:w="720" w:type="dxa"/>
            <w:vAlign w:val="center"/>
            <w:hideMark/>
          </w:tcPr>
          <w:p w14:paraId="13281B03" w14:textId="77777777" w:rsidR="003E0D7C" w:rsidRDefault="003E0D7C" w:rsidP="003E0D7C">
            <w:pPr>
              <w:jc w:val="center"/>
            </w:pPr>
            <w:r>
              <w:t>8</w:t>
            </w:r>
          </w:p>
        </w:tc>
        <w:tc>
          <w:tcPr>
            <w:tcW w:w="3780" w:type="dxa"/>
            <w:vAlign w:val="center"/>
            <w:hideMark/>
          </w:tcPr>
          <w:p w14:paraId="04A0FF9C" w14:textId="77777777" w:rsidR="003E0D7C" w:rsidRDefault="003E0D7C" w:rsidP="003E0D7C">
            <w:pPr>
              <w:jc w:val="left"/>
            </w:pPr>
            <w:r>
              <w:t>Exceptions don’t show in any user interface</w:t>
            </w:r>
          </w:p>
        </w:tc>
        <w:tc>
          <w:tcPr>
            <w:tcW w:w="4950" w:type="dxa"/>
            <w:vAlign w:val="center"/>
            <w:hideMark/>
          </w:tcPr>
          <w:p w14:paraId="2F7ABC05" w14:textId="77777777" w:rsidR="003E0D7C" w:rsidRDefault="003E0D7C" w:rsidP="003E0D7C">
            <w:pPr>
              <w:jc w:val="left"/>
            </w:pPr>
            <w:r>
              <w:t>When system has exception, system will redirect to error page with support information, don’t show content of exception.</w:t>
            </w:r>
          </w:p>
        </w:tc>
      </w:tr>
      <w:tr w:rsidR="003E0D7C" w:rsidRPr="003E0D7C" w14:paraId="7442681A" w14:textId="77777777" w:rsidTr="003E0D7C">
        <w:trPr>
          <w:trHeight w:val="567"/>
        </w:trPr>
        <w:tc>
          <w:tcPr>
            <w:tcW w:w="720" w:type="dxa"/>
            <w:vAlign w:val="center"/>
            <w:hideMark/>
          </w:tcPr>
          <w:p w14:paraId="19A04A9B" w14:textId="77777777" w:rsidR="003E0D7C" w:rsidRDefault="003E0D7C" w:rsidP="003E0D7C">
            <w:pPr>
              <w:jc w:val="center"/>
            </w:pPr>
            <w:r>
              <w:t>9</w:t>
            </w:r>
          </w:p>
        </w:tc>
        <w:tc>
          <w:tcPr>
            <w:tcW w:w="3780" w:type="dxa"/>
            <w:vAlign w:val="center"/>
            <w:hideMark/>
          </w:tcPr>
          <w:p w14:paraId="355ADC86" w14:textId="77777777" w:rsidR="003E0D7C" w:rsidRDefault="003E0D7C" w:rsidP="003E0D7C">
            <w:pPr>
              <w:jc w:val="left"/>
            </w:pPr>
            <w:r>
              <w:t>User are not allowed to access functions that they don’t have permission</w:t>
            </w:r>
          </w:p>
        </w:tc>
        <w:tc>
          <w:tcPr>
            <w:tcW w:w="4950" w:type="dxa"/>
            <w:vAlign w:val="center"/>
            <w:hideMark/>
          </w:tcPr>
          <w:p w14:paraId="79CACDB4" w14:textId="38D5A5F2" w:rsidR="003E0D7C" w:rsidRDefault="003E0D7C" w:rsidP="003E0D7C">
            <w:pPr>
              <w:jc w:val="left"/>
            </w:pPr>
            <w:r>
              <w:t>User cannot access any functions even when they know about link/action</w:t>
            </w:r>
          </w:p>
        </w:tc>
      </w:tr>
    </w:tbl>
    <w:p w14:paraId="32A09513" w14:textId="77777777" w:rsidR="003E0D7C" w:rsidRDefault="003E0D7C" w:rsidP="003E0D7C">
      <w:pPr>
        <w:rPr>
          <w:color w:val="000000"/>
        </w:rPr>
      </w:pPr>
    </w:p>
    <w:p w14:paraId="7F4072E7" w14:textId="77777777" w:rsidR="00381FB3" w:rsidRDefault="00381FB3" w:rsidP="00381FB3"/>
    <w:sectPr w:rsidR="00381FB3" w:rsidSect="00D47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4F8D"/>
    <w:multiLevelType w:val="hybridMultilevel"/>
    <w:tmpl w:val="35F66D72"/>
    <w:lvl w:ilvl="0" w:tplc="0C0A0019">
      <w:start w:val="1"/>
      <w:numFmt w:val="lowerLetter"/>
      <w:lvlText w:val="%1."/>
      <w:lvlJc w:val="left"/>
      <w:pPr>
        <w:ind w:left="1571" w:hanging="360"/>
      </w:pPr>
      <w:rPr>
        <w:rFonts w:hint="default"/>
      </w:rPr>
    </w:lvl>
    <w:lvl w:ilvl="1" w:tplc="F754F124">
      <w:start w:val="1"/>
      <w:numFmt w:val="bullet"/>
      <w:lvlText w:val=""/>
      <w:lvlJc w:val="left"/>
      <w:pPr>
        <w:ind w:left="2291" w:hanging="360"/>
      </w:pPr>
      <w:rPr>
        <w:rFonts w:ascii="Symbol" w:hAnsi="Symbol" w:hint="default"/>
      </w:r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 w15:restartNumberingAfterBreak="0">
    <w:nsid w:val="01FA734B"/>
    <w:multiLevelType w:val="hybridMultilevel"/>
    <w:tmpl w:val="92F071E2"/>
    <w:lvl w:ilvl="0" w:tplc="0C0A0019">
      <w:start w:val="1"/>
      <w:numFmt w:val="lowerLetter"/>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2" w15:restartNumberingAfterBreak="0">
    <w:nsid w:val="199A71EF"/>
    <w:multiLevelType w:val="multilevel"/>
    <w:tmpl w:val="017C6C82"/>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B34306B"/>
    <w:multiLevelType w:val="multilevel"/>
    <w:tmpl w:val="8278AE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0FA063B"/>
    <w:multiLevelType w:val="multilevel"/>
    <w:tmpl w:val="CFF6957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33E5EEF"/>
    <w:multiLevelType w:val="hybridMultilevel"/>
    <w:tmpl w:val="6E145852"/>
    <w:lvl w:ilvl="0" w:tplc="0C0A0019">
      <w:start w:val="1"/>
      <w:numFmt w:val="lowerLetter"/>
      <w:lvlText w:val="%1."/>
      <w:lvlJc w:val="left"/>
      <w:pPr>
        <w:ind w:left="1571" w:hanging="360"/>
      </w:pPr>
      <w:rPr>
        <w:rFont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 w15:restartNumberingAfterBreak="0">
    <w:nsid w:val="46A317B1"/>
    <w:multiLevelType w:val="multilevel"/>
    <w:tmpl w:val="1638C4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1C764F"/>
    <w:multiLevelType w:val="hybridMultilevel"/>
    <w:tmpl w:val="18BC38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4BA075E5"/>
    <w:multiLevelType w:val="hybridMultilevel"/>
    <w:tmpl w:val="58F87CB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5DF71FFA"/>
    <w:multiLevelType w:val="multilevel"/>
    <w:tmpl w:val="29AAD4EA"/>
    <w:lvl w:ilvl="0">
      <w:start w:val="5"/>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F82586"/>
    <w:multiLevelType w:val="multilevel"/>
    <w:tmpl w:val="72D6F1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905262"/>
    <w:multiLevelType w:val="hybridMultilevel"/>
    <w:tmpl w:val="A1F01352"/>
    <w:lvl w:ilvl="0" w:tplc="0C0A0019">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num w:numId="1">
    <w:abstractNumId w:val="2"/>
  </w:num>
  <w:num w:numId="2">
    <w:abstractNumId w:val="4"/>
  </w:num>
  <w:num w:numId="3">
    <w:abstractNumId w:val="6"/>
  </w:num>
  <w:num w:numId="4">
    <w:abstractNumId w:val="10"/>
  </w:num>
  <w:num w:numId="5">
    <w:abstractNumId w:val="3"/>
  </w:num>
  <w:num w:numId="6">
    <w:abstractNumId w:val="9"/>
  </w:num>
  <w:num w:numId="7">
    <w:abstractNumId w:val="9"/>
  </w:num>
  <w:num w:numId="8">
    <w:abstractNumId w:val="8"/>
  </w:num>
  <w:num w:numId="9">
    <w:abstractNumId w:val="11"/>
  </w:num>
  <w:num w:numId="10">
    <w:abstractNumId w:val="1"/>
  </w:num>
  <w:num w:numId="11">
    <w:abstractNumId w:val="9"/>
    <w:lvlOverride w:ilvl="0">
      <w:startOverride w:val="1"/>
    </w:lvlOverride>
  </w:num>
  <w:num w:numId="12">
    <w:abstractNumId w:val="9"/>
    <w:lvlOverride w:ilvl="0">
      <w:startOverride w:val="1"/>
    </w:lvlOverride>
  </w:num>
  <w:num w:numId="13">
    <w:abstractNumId w:val="0"/>
  </w:num>
  <w:num w:numId="14">
    <w:abstractNumId w:val="5"/>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F37"/>
    <w:rsid w:val="000072CA"/>
    <w:rsid w:val="00040CAF"/>
    <w:rsid w:val="00040E7B"/>
    <w:rsid w:val="000A5B29"/>
    <w:rsid w:val="000B0649"/>
    <w:rsid w:val="000B71D0"/>
    <w:rsid w:val="000C4CC1"/>
    <w:rsid w:val="000F2086"/>
    <w:rsid w:val="00113FA8"/>
    <w:rsid w:val="001144E8"/>
    <w:rsid w:val="00152A29"/>
    <w:rsid w:val="00154DB6"/>
    <w:rsid w:val="001A3669"/>
    <w:rsid w:val="001B071F"/>
    <w:rsid w:val="002139C9"/>
    <w:rsid w:val="00230E15"/>
    <w:rsid w:val="00232031"/>
    <w:rsid w:val="002551D6"/>
    <w:rsid w:val="00263E74"/>
    <w:rsid w:val="00267095"/>
    <w:rsid w:val="002900CD"/>
    <w:rsid w:val="0029142A"/>
    <w:rsid w:val="00295E2F"/>
    <w:rsid w:val="002961DC"/>
    <w:rsid w:val="002C2B0D"/>
    <w:rsid w:val="00316F9A"/>
    <w:rsid w:val="0032119F"/>
    <w:rsid w:val="00322A3C"/>
    <w:rsid w:val="003469C0"/>
    <w:rsid w:val="00366B40"/>
    <w:rsid w:val="00375C35"/>
    <w:rsid w:val="00381FB3"/>
    <w:rsid w:val="003B3A9C"/>
    <w:rsid w:val="003E0D7C"/>
    <w:rsid w:val="003E149D"/>
    <w:rsid w:val="00414EA1"/>
    <w:rsid w:val="00424CF8"/>
    <w:rsid w:val="0043667A"/>
    <w:rsid w:val="00442FE3"/>
    <w:rsid w:val="004607A7"/>
    <w:rsid w:val="0046256B"/>
    <w:rsid w:val="004640A8"/>
    <w:rsid w:val="004E6109"/>
    <w:rsid w:val="004F18BF"/>
    <w:rsid w:val="004F7627"/>
    <w:rsid w:val="00572763"/>
    <w:rsid w:val="0059793E"/>
    <w:rsid w:val="005C2EC5"/>
    <w:rsid w:val="00615AA4"/>
    <w:rsid w:val="006375FB"/>
    <w:rsid w:val="006C19E1"/>
    <w:rsid w:val="006C4CC2"/>
    <w:rsid w:val="006D78F3"/>
    <w:rsid w:val="00714DBF"/>
    <w:rsid w:val="007317B2"/>
    <w:rsid w:val="007514C0"/>
    <w:rsid w:val="00760707"/>
    <w:rsid w:val="007625B0"/>
    <w:rsid w:val="0078706D"/>
    <w:rsid w:val="00790F4D"/>
    <w:rsid w:val="007B0835"/>
    <w:rsid w:val="007B646A"/>
    <w:rsid w:val="007B78BA"/>
    <w:rsid w:val="007C4C7E"/>
    <w:rsid w:val="007C6FE2"/>
    <w:rsid w:val="00885356"/>
    <w:rsid w:val="00893FF2"/>
    <w:rsid w:val="008B2339"/>
    <w:rsid w:val="009575AD"/>
    <w:rsid w:val="0097140E"/>
    <w:rsid w:val="00973B37"/>
    <w:rsid w:val="00983215"/>
    <w:rsid w:val="009E1F37"/>
    <w:rsid w:val="00A149D3"/>
    <w:rsid w:val="00A501D6"/>
    <w:rsid w:val="00AB044D"/>
    <w:rsid w:val="00AF2CCB"/>
    <w:rsid w:val="00B23203"/>
    <w:rsid w:val="00B32E6E"/>
    <w:rsid w:val="00B36361"/>
    <w:rsid w:val="00B46E23"/>
    <w:rsid w:val="00B601BB"/>
    <w:rsid w:val="00B805CA"/>
    <w:rsid w:val="00B846CF"/>
    <w:rsid w:val="00BA63D0"/>
    <w:rsid w:val="00BB098A"/>
    <w:rsid w:val="00BB6184"/>
    <w:rsid w:val="00BC6789"/>
    <w:rsid w:val="00BC791E"/>
    <w:rsid w:val="00BF5D56"/>
    <w:rsid w:val="00C1056D"/>
    <w:rsid w:val="00C46265"/>
    <w:rsid w:val="00CC2A02"/>
    <w:rsid w:val="00CD1517"/>
    <w:rsid w:val="00CE7B90"/>
    <w:rsid w:val="00CF6623"/>
    <w:rsid w:val="00CF7FC6"/>
    <w:rsid w:val="00D14B8C"/>
    <w:rsid w:val="00D32F16"/>
    <w:rsid w:val="00D36026"/>
    <w:rsid w:val="00D47282"/>
    <w:rsid w:val="00DD3C78"/>
    <w:rsid w:val="00DD65CA"/>
    <w:rsid w:val="00E565EF"/>
    <w:rsid w:val="00E76E48"/>
    <w:rsid w:val="00E802E8"/>
    <w:rsid w:val="00E839B9"/>
    <w:rsid w:val="00ED07FB"/>
    <w:rsid w:val="00ED2EA5"/>
    <w:rsid w:val="00ED3813"/>
    <w:rsid w:val="00EF2E0A"/>
    <w:rsid w:val="00F04844"/>
    <w:rsid w:val="00F15F00"/>
    <w:rsid w:val="00F260E2"/>
    <w:rsid w:val="00F36629"/>
    <w:rsid w:val="00F41395"/>
    <w:rsid w:val="00F71141"/>
    <w:rsid w:val="00F876FC"/>
    <w:rsid w:val="00FA33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5332"/>
  <w15:chartTrackingRefBased/>
  <w15:docId w15:val="{44CFEB28-7AEA-4EE2-A8C3-E5DF41E5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67A"/>
    <w:pPr>
      <w:widowControl w:val="0"/>
      <w:spacing w:before="120" w:after="120" w:line="276" w:lineRule="auto"/>
      <w:jc w:val="both"/>
    </w:pPr>
    <w:rPr>
      <w:rFonts w:ascii="Times New Roman" w:eastAsia="Times New Roman" w:hAnsi="Times New Roman" w:cs="Times New Roman"/>
      <w:color w:val="000000" w:themeColor="text1"/>
      <w:lang w:val="en-US"/>
    </w:rPr>
  </w:style>
  <w:style w:type="paragraph" w:styleId="Heading1">
    <w:name w:val="heading 1"/>
    <w:basedOn w:val="Normal"/>
    <w:link w:val="Heading1Char"/>
    <w:autoRedefine/>
    <w:uiPriority w:val="1"/>
    <w:qFormat/>
    <w:rsid w:val="00381FB3"/>
    <w:pPr>
      <w:autoSpaceDE w:val="0"/>
      <w:autoSpaceDN w:val="0"/>
      <w:spacing w:before="360" w:after="360" w:line="240" w:lineRule="auto"/>
      <w:ind w:left="720" w:hanging="720"/>
      <w:jc w:val="center"/>
      <w:outlineLvl w:val="0"/>
    </w:pPr>
    <w:rPr>
      <w:b/>
      <w:bCs/>
      <w:lang w:val="es-PE" w:eastAsia="es-PE" w:bidi="es-PE"/>
    </w:rPr>
  </w:style>
  <w:style w:type="paragraph" w:styleId="Heading2">
    <w:name w:val="heading 2"/>
    <w:basedOn w:val="Heading1"/>
    <w:next w:val="Normal"/>
    <w:link w:val="Heading2Char"/>
    <w:autoRedefine/>
    <w:uiPriority w:val="9"/>
    <w:unhideWhenUsed/>
    <w:qFormat/>
    <w:rsid w:val="00113FA8"/>
    <w:pPr>
      <w:keepNext/>
      <w:keepLines/>
      <w:numPr>
        <w:ilvl w:val="1"/>
        <w:numId w:val="7"/>
      </w:numPr>
      <w:spacing w:before="280" w:after="240"/>
      <w:ind w:left="851" w:hanging="425"/>
      <w:jc w:val="left"/>
      <w:outlineLvl w:val="1"/>
    </w:pPr>
    <w:rPr>
      <w:rFonts w:eastAsiaTheme="majorEastAsia"/>
    </w:rPr>
  </w:style>
  <w:style w:type="paragraph" w:styleId="Heading3">
    <w:name w:val="heading 3"/>
    <w:basedOn w:val="Normal"/>
    <w:next w:val="Normal"/>
    <w:link w:val="Heading3Char"/>
    <w:autoRedefine/>
    <w:uiPriority w:val="9"/>
    <w:unhideWhenUsed/>
    <w:qFormat/>
    <w:rsid w:val="00316F9A"/>
    <w:pPr>
      <w:keepNext/>
      <w:keepLines/>
      <w:numPr>
        <w:ilvl w:val="2"/>
        <w:numId w:val="1"/>
      </w:numPr>
      <w:spacing w:before="280" w:after="240"/>
      <w:ind w:firstLine="131"/>
      <w:outlineLvl w:val="2"/>
    </w:pPr>
    <w:rPr>
      <w:rFonts w:eastAsiaTheme="majorEastAsia"/>
      <w:b/>
    </w:rPr>
  </w:style>
  <w:style w:type="paragraph" w:styleId="Heading7">
    <w:name w:val="heading 7"/>
    <w:basedOn w:val="Normal"/>
    <w:next w:val="Normal"/>
    <w:link w:val="Heading7Char"/>
    <w:uiPriority w:val="9"/>
    <w:unhideWhenUsed/>
    <w:qFormat/>
    <w:rsid w:val="004F7627"/>
    <w:pPr>
      <w:keepNext/>
      <w:keepLines/>
      <w:widowControl/>
      <w:spacing w:before="40" w:after="0" w:line="240" w:lineRule="auto"/>
      <w:jc w:val="left"/>
      <w:outlineLvl w:val="6"/>
    </w:pPr>
    <w:rPr>
      <w:rFonts w:asciiTheme="majorHAnsi" w:eastAsiaTheme="majorEastAsia" w:hAnsiTheme="majorHAnsi" w:cstheme="majorBidi"/>
      <w:i/>
      <w:iCs/>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E1F37"/>
    <w:pPr>
      <w:ind w:left="720"/>
      <w:contextualSpacing/>
    </w:pPr>
  </w:style>
  <w:style w:type="paragraph" w:styleId="ListParagraph">
    <w:name w:val="List Paragraph"/>
    <w:basedOn w:val="Normal"/>
    <w:uiPriority w:val="34"/>
    <w:qFormat/>
    <w:rsid w:val="00BA63D0"/>
    <w:pPr>
      <w:ind w:left="720"/>
      <w:contextualSpacing/>
    </w:pPr>
  </w:style>
  <w:style w:type="character" w:customStyle="1" w:styleId="Heading1Char">
    <w:name w:val="Heading 1 Char"/>
    <w:basedOn w:val="DefaultParagraphFont"/>
    <w:link w:val="Heading1"/>
    <w:uiPriority w:val="1"/>
    <w:rsid w:val="00381FB3"/>
    <w:rPr>
      <w:rFonts w:ascii="Times New Roman" w:eastAsia="Times New Roman" w:hAnsi="Times New Roman" w:cs="Times New Roman"/>
      <w:b/>
      <w:bCs/>
      <w:color w:val="000000" w:themeColor="text1"/>
      <w:lang w:eastAsia="es-PE" w:bidi="es-PE"/>
    </w:rPr>
  </w:style>
  <w:style w:type="paragraph" w:styleId="BalloonText">
    <w:name w:val="Balloon Text"/>
    <w:basedOn w:val="Normal"/>
    <w:link w:val="BalloonTextChar"/>
    <w:uiPriority w:val="99"/>
    <w:semiHidden/>
    <w:unhideWhenUsed/>
    <w:rsid w:val="00CE7B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90"/>
    <w:rPr>
      <w:rFonts w:ascii="Segoe UI" w:eastAsia="Times New Roman" w:hAnsi="Segoe UI" w:cs="Segoe UI"/>
      <w:sz w:val="18"/>
      <w:szCs w:val="18"/>
      <w:lang w:val="en-US"/>
    </w:rPr>
  </w:style>
  <w:style w:type="table" w:styleId="GridTable4">
    <w:name w:val="Grid Table 4"/>
    <w:basedOn w:val="TableNormal"/>
    <w:uiPriority w:val="49"/>
    <w:rsid w:val="00D472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113FA8"/>
    <w:rPr>
      <w:rFonts w:ascii="Times New Roman" w:eastAsiaTheme="majorEastAsia" w:hAnsi="Times New Roman" w:cs="Times New Roman"/>
      <w:b/>
      <w:bCs/>
      <w:color w:val="000000" w:themeColor="text1"/>
      <w:lang w:eastAsia="es-PE" w:bidi="es-PE"/>
    </w:rPr>
  </w:style>
  <w:style w:type="character" w:customStyle="1" w:styleId="Heading3Char">
    <w:name w:val="Heading 3 Char"/>
    <w:basedOn w:val="DefaultParagraphFont"/>
    <w:link w:val="Heading3"/>
    <w:uiPriority w:val="9"/>
    <w:rsid w:val="00316F9A"/>
    <w:rPr>
      <w:rFonts w:ascii="Times New Roman" w:eastAsiaTheme="majorEastAsia" w:hAnsi="Times New Roman" w:cs="Times New Roman"/>
      <w:b/>
      <w:color w:val="000000" w:themeColor="text1"/>
      <w:lang w:val="en-US"/>
    </w:rPr>
  </w:style>
  <w:style w:type="character" w:styleId="CommentReference">
    <w:name w:val="annotation reference"/>
    <w:basedOn w:val="DefaultParagraphFont"/>
    <w:uiPriority w:val="99"/>
    <w:semiHidden/>
    <w:unhideWhenUsed/>
    <w:rsid w:val="00414EA1"/>
    <w:rPr>
      <w:sz w:val="16"/>
      <w:szCs w:val="16"/>
    </w:rPr>
  </w:style>
  <w:style w:type="paragraph" w:styleId="CommentText">
    <w:name w:val="annotation text"/>
    <w:basedOn w:val="Normal"/>
    <w:link w:val="CommentTextChar"/>
    <w:uiPriority w:val="99"/>
    <w:semiHidden/>
    <w:unhideWhenUsed/>
    <w:rsid w:val="00414EA1"/>
    <w:pPr>
      <w:spacing w:line="240" w:lineRule="auto"/>
    </w:pPr>
    <w:rPr>
      <w:sz w:val="20"/>
      <w:szCs w:val="20"/>
    </w:rPr>
  </w:style>
  <w:style w:type="character" w:customStyle="1" w:styleId="CommentTextChar">
    <w:name w:val="Comment Text Char"/>
    <w:basedOn w:val="DefaultParagraphFont"/>
    <w:link w:val="CommentText"/>
    <w:uiPriority w:val="99"/>
    <w:semiHidden/>
    <w:rsid w:val="00414EA1"/>
    <w:rPr>
      <w:rFonts w:ascii="Times New Roman" w:eastAsia="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414EA1"/>
    <w:rPr>
      <w:b/>
      <w:bCs/>
    </w:rPr>
  </w:style>
  <w:style w:type="character" w:customStyle="1" w:styleId="CommentSubjectChar">
    <w:name w:val="Comment Subject Char"/>
    <w:basedOn w:val="CommentTextChar"/>
    <w:link w:val="CommentSubject"/>
    <w:uiPriority w:val="99"/>
    <w:semiHidden/>
    <w:rsid w:val="00414EA1"/>
    <w:rPr>
      <w:rFonts w:ascii="Times New Roman" w:eastAsia="Times New Roman" w:hAnsi="Times New Roman" w:cs="Times New Roman"/>
      <w:b/>
      <w:bCs/>
      <w:color w:val="000000" w:themeColor="text1"/>
      <w:sz w:val="20"/>
      <w:szCs w:val="20"/>
      <w:lang w:val="en-US"/>
    </w:rPr>
  </w:style>
  <w:style w:type="character" w:customStyle="1" w:styleId="Heading7Char">
    <w:name w:val="Heading 7 Char"/>
    <w:basedOn w:val="DefaultParagraphFont"/>
    <w:link w:val="Heading7"/>
    <w:uiPriority w:val="9"/>
    <w:rsid w:val="004F7627"/>
    <w:rPr>
      <w:rFonts w:asciiTheme="majorHAnsi" w:eastAsiaTheme="majorEastAsia" w:hAnsiTheme="majorHAnsi" w:cstheme="majorBidi"/>
      <w:i/>
      <w:iCs/>
      <w:color w:val="1F4D78" w:themeColor="accent1" w:themeShade="7F"/>
      <w:sz w:val="24"/>
      <w:szCs w:val="24"/>
      <w:lang w:val="en-US"/>
    </w:rPr>
  </w:style>
  <w:style w:type="paragraph" w:customStyle="1" w:styleId="Normal1">
    <w:name w:val="Normal1"/>
    <w:rsid w:val="004F7627"/>
    <w:pPr>
      <w:spacing w:after="0" w:line="240" w:lineRule="auto"/>
    </w:pPr>
    <w:rPr>
      <w:rFonts w:ascii="Times New Roman" w:eastAsia="Times New Roman" w:hAnsi="Times New Roman" w:cs="Times New Roman"/>
      <w:color w:val="000000"/>
      <w:sz w:val="24"/>
      <w:szCs w:val="24"/>
      <w:lang w:val="en-US"/>
    </w:rPr>
  </w:style>
  <w:style w:type="table" w:styleId="TableGrid">
    <w:name w:val="Table Grid"/>
    <w:basedOn w:val="TableNormal"/>
    <w:uiPriority w:val="39"/>
    <w:rsid w:val="004F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94544">
      <w:bodyDiv w:val="1"/>
      <w:marLeft w:val="0"/>
      <w:marRight w:val="0"/>
      <w:marTop w:val="0"/>
      <w:marBottom w:val="0"/>
      <w:divBdr>
        <w:top w:val="none" w:sz="0" w:space="0" w:color="auto"/>
        <w:left w:val="none" w:sz="0" w:space="0" w:color="auto"/>
        <w:bottom w:val="none" w:sz="0" w:space="0" w:color="auto"/>
        <w:right w:val="none" w:sz="0" w:space="0" w:color="auto"/>
      </w:divBdr>
    </w:div>
    <w:div w:id="796334476">
      <w:bodyDiv w:val="1"/>
      <w:marLeft w:val="0"/>
      <w:marRight w:val="0"/>
      <w:marTop w:val="0"/>
      <w:marBottom w:val="0"/>
      <w:divBdr>
        <w:top w:val="none" w:sz="0" w:space="0" w:color="auto"/>
        <w:left w:val="none" w:sz="0" w:space="0" w:color="auto"/>
        <w:bottom w:val="none" w:sz="0" w:space="0" w:color="auto"/>
        <w:right w:val="none" w:sz="0" w:space="0" w:color="auto"/>
      </w:divBdr>
    </w:div>
    <w:div w:id="1066296144">
      <w:bodyDiv w:val="1"/>
      <w:marLeft w:val="0"/>
      <w:marRight w:val="0"/>
      <w:marTop w:val="0"/>
      <w:marBottom w:val="0"/>
      <w:divBdr>
        <w:top w:val="none" w:sz="0" w:space="0" w:color="auto"/>
        <w:left w:val="none" w:sz="0" w:space="0" w:color="auto"/>
        <w:bottom w:val="none" w:sz="0" w:space="0" w:color="auto"/>
        <w:right w:val="none" w:sz="0" w:space="0" w:color="auto"/>
      </w:divBdr>
    </w:div>
    <w:div w:id="1101922338">
      <w:bodyDiv w:val="1"/>
      <w:marLeft w:val="0"/>
      <w:marRight w:val="0"/>
      <w:marTop w:val="0"/>
      <w:marBottom w:val="0"/>
      <w:divBdr>
        <w:top w:val="none" w:sz="0" w:space="0" w:color="auto"/>
        <w:left w:val="none" w:sz="0" w:space="0" w:color="auto"/>
        <w:bottom w:val="none" w:sz="0" w:space="0" w:color="auto"/>
        <w:right w:val="none" w:sz="0" w:space="0" w:color="auto"/>
      </w:divBdr>
    </w:div>
    <w:div w:id="1761220030">
      <w:bodyDiv w:val="1"/>
      <w:marLeft w:val="0"/>
      <w:marRight w:val="0"/>
      <w:marTop w:val="0"/>
      <w:marBottom w:val="0"/>
      <w:divBdr>
        <w:top w:val="none" w:sz="0" w:space="0" w:color="auto"/>
        <w:left w:val="none" w:sz="0" w:space="0" w:color="auto"/>
        <w:bottom w:val="none" w:sz="0" w:space="0" w:color="auto"/>
        <w:right w:val="none" w:sz="0" w:space="0" w:color="auto"/>
      </w:divBdr>
    </w:div>
    <w:div w:id="193150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19E5-9F1A-D641-B791-018573B5A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2993</Words>
  <Characters>17062</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Antonio Sano Delia</dc:creator>
  <cp:keywords/>
  <dc:description/>
  <cp:lastModifiedBy>Microsoft Office User</cp:lastModifiedBy>
  <cp:revision>65</cp:revision>
  <cp:lastPrinted>2020-07-07T00:07:00Z</cp:lastPrinted>
  <dcterms:created xsi:type="dcterms:W3CDTF">2020-08-25T16:08:00Z</dcterms:created>
  <dcterms:modified xsi:type="dcterms:W3CDTF">2020-09-03T03:36:00Z</dcterms:modified>
</cp:coreProperties>
</file>