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HOIN ATLAS v1.0</w:t>
      </w:r>
    </w:p>
    <w:p>
      <w:r>
        <w:t>Purpose: Human-readable data atlas for HOIN ENGINE.</w:t>
        <w:br/>
      </w:r>
    </w:p>
    <w:p>
      <w:r>
        <w:t>This document defines WHAT data is collected, WHERE it comes from, HOW, WHY, and whether it is FREE.</w:t>
        <w:br/>
      </w:r>
    </w:p>
    <w:p>
      <w:pPr>
        <w:pStyle w:val="Heading2"/>
      </w:pPr>
      <w:r>
        <w:t>Macro Economy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WHY</w:t>
            </w:r>
          </w:p>
        </w:tc>
      </w:tr>
      <w:tr>
        <w:tc>
          <w:tcPr>
            <w:tcW w:type="dxa" w:w="1440"/>
          </w:tcPr>
          <w:p>
            <w:r>
              <w:t>US Policy Rate</w:t>
            </w:r>
          </w:p>
        </w:tc>
        <w:tc>
          <w:tcPr>
            <w:tcW w:type="dxa" w:w="1440"/>
          </w:tcPr>
          <w:p>
            <w:r>
              <w:t>FRED</w:t>
            </w:r>
          </w:p>
        </w:tc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Anchor of all asset pricing</w:t>
            </w:r>
          </w:p>
        </w:tc>
      </w:tr>
      <w:tr>
        <w:tc>
          <w:tcPr>
            <w:tcW w:type="dxa" w:w="1440"/>
          </w:tcPr>
          <w:p>
            <w:r>
              <w:t>Korea Policy Rate</w:t>
            </w:r>
          </w:p>
        </w:tc>
        <w:tc>
          <w:tcPr>
            <w:tcW w:type="dxa" w:w="1440"/>
          </w:tcPr>
          <w:p>
            <w:r>
              <w:t>Bank of Korea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Direct pressure on domestic assets</w:t>
            </w:r>
          </w:p>
        </w:tc>
      </w:tr>
      <w:tr>
        <w:tc>
          <w:tcPr>
            <w:tcW w:type="dxa" w:w="1440"/>
          </w:tcPr>
          <w:p>
            <w:r>
              <w:t>US 10Y-2Y Spread</w:t>
            </w:r>
          </w:p>
        </w:tc>
        <w:tc>
          <w:tcPr>
            <w:tcW w:type="dxa" w:w="1440"/>
          </w:tcPr>
          <w:p>
            <w:r>
              <w:t>FRED</w:t>
            </w:r>
          </w:p>
        </w:tc>
        <w:tc>
          <w:tcPr>
            <w:tcW w:type="dxa" w:w="1440"/>
          </w:tcPr>
          <w:p>
            <w:r>
              <w:t>Derived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Early recession signal</w:t>
            </w:r>
          </w:p>
        </w:tc>
      </w:tr>
    </w:tbl>
    <w:p>
      <w:pPr>
        <w:pStyle w:val="Heading2"/>
      </w:pPr>
      <w:r>
        <w:t>Equity Market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WHY</w:t>
            </w:r>
          </w:p>
        </w:tc>
      </w:tr>
      <w:tr>
        <w:tc>
          <w:tcPr>
            <w:tcW w:type="dxa" w:w="1440"/>
          </w:tcPr>
          <w:p>
            <w:r>
              <w:t>S&amp;P500 Index</w:t>
            </w:r>
          </w:p>
        </w:tc>
        <w:tc>
          <w:tcPr>
            <w:tcW w:type="dxa" w:w="1440"/>
          </w:tcPr>
          <w:p>
            <w:r>
              <w:t>Stooq</w:t>
            </w:r>
          </w:p>
        </w:tc>
        <w:tc>
          <w:tcPr>
            <w:tcW w:type="dxa" w:w="1440"/>
          </w:tcPr>
          <w:p>
            <w:r>
              <w:t>CSV/API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Global risk appetite baseline</w:t>
            </w:r>
          </w:p>
        </w:tc>
      </w:tr>
      <w:tr>
        <w:tc>
          <w:tcPr>
            <w:tcW w:type="dxa" w:w="1440"/>
          </w:tcPr>
          <w:p>
            <w:r>
              <w:t>KOSPI Index</w:t>
            </w:r>
          </w:p>
        </w:tc>
        <w:tc>
          <w:tcPr>
            <w:tcW w:type="dxa" w:w="1440"/>
          </w:tcPr>
          <w:p>
            <w:r>
              <w:t>KRX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Korean macro-equity proxy</w:t>
            </w:r>
          </w:p>
        </w:tc>
      </w:tr>
    </w:tbl>
    <w:p>
      <w:pPr>
        <w:pStyle w:val="Heading2"/>
      </w:pPr>
      <w:r>
        <w:t>Commodities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WHY</w:t>
            </w:r>
          </w:p>
        </w:tc>
      </w:tr>
      <w:tr>
        <w:tc>
          <w:tcPr>
            <w:tcW w:type="dxa" w:w="1440"/>
          </w:tcPr>
          <w:p>
            <w:r>
              <w:t>Gold Price</w:t>
            </w:r>
          </w:p>
        </w:tc>
        <w:tc>
          <w:tcPr>
            <w:tcW w:type="dxa" w:w="1440"/>
          </w:tcPr>
          <w:p>
            <w:r>
              <w:t>FRED</w:t>
            </w:r>
          </w:p>
        </w:tc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Systemic risk hedge</w:t>
            </w:r>
          </w:p>
        </w:tc>
      </w:tr>
      <w:tr>
        <w:tc>
          <w:tcPr>
            <w:tcW w:type="dxa" w:w="1440"/>
          </w:tcPr>
          <w:p>
            <w:r>
              <w:t>Silver Price</w:t>
            </w:r>
          </w:p>
        </w:tc>
        <w:tc>
          <w:tcPr>
            <w:tcW w:type="dxa" w:w="1440"/>
          </w:tcPr>
          <w:p>
            <w:r>
              <w:t>FRED</w:t>
            </w:r>
          </w:p>
        </w:tc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Industrial + monetary hybrid signal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