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Trade Note</w:t>
      </w:r>
    </w:p>
    <w:p>
      <w:r>
        <w:t>TITLE: KO — Technical Trade Note (2016-01-15 to 2026-01-14)</w:t>
      </w:r>
    </w:p>
    <w:p>
      <w:r>
        <w:t>Abstract</w:t>
        <w:br/>
        <w:t>Analysis date: 2026-01-14. Latest snapshot shows close 71.44, entry_cond False and buy_signal False. Momentum indicators are mixed: rsi50 54.06, cmo15 18.44 but cmo_smma4 -5.56; price is 5.50% from reference level and candle_ht_pct 1.26. ATR is 0.99. No immediate trigger; the system remains sidelined while constructive medium-term metrics persist.</w:t>
      </w:r>
    </w:p>
    <w:p>
      <w:r>
        <w:t>Recommendation</w:t>
        <w:br/>
        <w:t>Signal: Hold</w:t>
        <w:br/>
        <w:t>Rationale: No active entry (entry_cond False, buy_signal False); indicators are neutral-to-slightly-bullish but do not satisfy the system's entry rules.</w:t>
      </w:r>
    </w:p>
    <w:p>
      <w:r>
        <w:t>Strategy</w:t>
        <w:br/>
        <w:t>Overview: The system is an ATR-based, risk-managed trend/momentum strategy sized to risk 1.00% of equity per trade (risk_pct 1.00%) with stop placement tied to volatility (atr_len 100, sl_atr_mult 4.00) and target set at reward:risk 1.40. Backtest (2016-01-15 → 2026-01-14) produced a moderate compound return (CAGR 5.48%), positive risk-adjusted returns (Sharpe 0.72), and limited peak stress (Max Drawdown -10.22%). High hit rate (75.68%) and profit factor (4.33) indicate the model captures more small winners than large losers; average trade returns ~0.77 R. The approach limits exposure (observed_max_open_trades 11, observed_max_leverage 1.94) and assumes minimal slippage (0.00 bps in test). Given the current neutral signals, the strategy waits for its explicit entry criteria before deploying capital.</w:t>
      </w:r>
    </w:p>
    <w:p>
      <w:r>
        <w:t>Backtest_summary</w:t>
        <w:br/>
        <w:t>Performance_interpretation: Over 10 years the strategy returned CAGR 5.48% with a Sharpe of 0.72, indicating acceptable risk-adjusted performance for a conservative, systematic approach. Max Drawdown was -10.22%, showing drawdowns stayed relatively contained. The model executed 74 trades with a high hit rate (75.68%) and a profit factor of 4.33, implying winners materially exceed losers in aggregate. Average trade delivered ~0.77 R. These metrics suggest consistent, small-to-medium sized profitable edges rather than occasional large winners; performance depends on disciplined sizing (1.00% risk) and adherence to ATR stops.</w:t>
      </w:r>
    </w:p>
    <w:p>
      <w:r>
        <w:t>Current Signal &amp; Trade Plan</w:t>
        <w:br/>
        <w:t>Entry_cond is False (no entry). The system will not enter until the automated entry flag flips to True. Exactly what must change before entering: entry_cond must become True and buy_signal must become True. If both flags become True, execution protocol: enter on signal execution price, set stop-loss at entry minus 4.00 × ATR (ATR 0.99 → stop ≈ 3.95 below entry), set take-profit at entry + (1.40 × stop distance), and size the position to risk 1.00% of equity per trade while ensuring cumulative open trades do not breach observed_max_open_trades (11) or implied leverage limits (observed_max_leverage 1.94).</w:t>
      </w:r>
    </w:p>
    <w:p>
      <w:r>
        <w:t>Risks &amp; Limitations</w:t>
        <w:br/>
        <w:t>The backtest assumes zero slippage and may understate transaction costs (slippage_bps 0.00). High hit rate and profit factor may depend on market regimes; performance could deteriorate if volatility structure shifts. ATR-based stops can be vulnerable to intraday gaps. Observed_max_open_trades (11) and peak leverage (1.94) indicate potential portfolio concentration risk if multiple signals coincide. Historical metrics (CAGR 5.48%, Sharpe 0.72) are modest and not a guarantee of future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