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Trade Note</w:t>
      </w:r>
    </w:p>
    <w:p>
      <w:r>
        <w:t>TITLE: KO — Technical Trade Note (2016-01-15 to 2026-01-14)</w:t>
      </w:r>
    </w:p>
    <w:p>
      <w:r>
        <w:t>Executive Summary</w:t>
        <w:br/>
        <w:t>Recommendation: Flat. The backtest shows a viable, conservative long strategy (CAGR 0.06321903481304414, Sharpe 0.9140222533849337, MaxDrawdown -0.10917668983498718, Hit Rate 0.8235294117647058, num_trades 68) but the live snapshot does not meet the system’s entry conditions (entry_cond is False, buy_signal is False). Given reasonable drawdown control and a high hit rate, wait for the strategy’s triggers rather than initiating a discretionary long.</w:t>
      </w:r>
    </w:p>
    <w:p>
      <w:r>
        <w:t>Strategy Logic</w:t>
        <w:br/>
        <w:t>The strategy captures medium-term trend flips validated by momentum and distance filters: a Supertrend flip to long is required, then RSI(50) and a distance-to-200 SMMA filter limit entries to favorable mean-reversion/trend contexts. A CMO confirmation (cmo15 vs cmo_smma4) and a candle height filter (candle_ht_pct) reduce noise and avoid low-quality setups, while ATR-based stops size risk objectively.</w:t>
      </w:r>
    </w:p>
    <w:p>
      <w:r>
        <w:t>Backtest Results</w:t>
        <w:br/>
        <w:t>Over 2016-01-15 → 2026-01-14 the system delivered CAGR 0.06321903481304414 with Sharpe 0.9140222533849337, MaxDrawdown -0.10917668983498718, Hit Rate 0.8235294117647058 across num_trades 68 and profit_factor 6.481676367848739. These metrics imply consistent positive expectancy (avg_R 0.9538115782827653) and frequent winners, with limited historical drawdowns relative to return.</w:t>
      </w:r>
    </w:p>
    <w:p>
      <w:r>
        <w:t>Observed operational stats show observed_max_open_trades 10 and observed_max_leverage 1.8024359479610943, which means portfolio exposure can concentrate across multiple simultaneous positions and leverage may approach ~1.80x under historical conditions; position sizing and aggregate risk controls are therefore material.</w:t>
      </w:r>
    </w:p>
    <w:p>
      <w:r>
        <w:t>Current Signal &amp; Trade Plan</w:t>
        <w:br/>
        <w:t>Entry_cond is False on 2026-01-14 (close 71.44000244140625; rsi50 55.1472404421724; buy_signal False). Before entering the system requires the Supertrend flip to long, buy_signal/entry_cond to flip True, and RSI(50) to move below the threshold used by the rule set (currently rsi50 is 55.1472404421724 and must drop below the rule cutoff). CMO and distance filters must also align per the strategy; cmo15 is 18.438185173753652 and cmo_smma4 is -5.5029196909260065 but the other rule conditions remain unmet.</w:t>
      </w:r>
    </w:p>
    <w:p>
      <w:r>
        <w:t>If/when entry_cond becomes True execute at the next practicable market price (market-on-open or first liquid intra-day fill). Stop = ATR * sl_atr_mult = 0.9722639575884088 * 4.0 = 3.8890558303536352 points below entry; TP = stop * rr = 3.8890558303536352 * 1.4 = 5.444678162495089 points above entry. Using the current close as an example entry, stop ≈ 71.44000244140625 - 3.8890558303536352 = 67.55094661105261 and take-profit ≈ 71.44000244140625 + 5.444678162495089 = 76.88468060390134. Size each position so that the defined stop risks risk_pct = 0.01 of portfolio equity; remember observed_max_open_trades 10 implies potential aggregated risk of up to ~10% of equity if all positions are simultaneously stopped, and observed_max_leverage 1.8024359479610943 should guide overall leverage limits.</w:t>
      </w:r>
    </w:p>
    <w:p>
      <w:r>
        <w:t>Risks &amp; Limitations</w:t>
        <w:br/>
        <w:t>The strategy is regime-dependent (trend flips and momentum structure); performance may degrade in structurally different markets. Backtest assumptions include slippage_bps 0.0 and likely ignore some execution/gap risk and transaction frictions; parameter settings (atr_len 100, sl_atr_mult 4.0, rr 1.4) are sensitive and should be stress- tested. Monitor live fills, overnight gaps, and aggregate exposure when multiple signals coincide.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