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ff3"/>
        <w:jc w:val="left"/>
        <w:tabs>
          <w:tab w:val="left" w:pos="1828"/>
          <w:tab w:val="center" w:pos="4819"/>
        </w:tabs>
        <w:rPr>
          <w:rFonts w:ascii="맑은 고딕" w:eastAsia="맑은 고딕" w:hAnsi="맑은 고딕" w:hint="default"/>
        </w:rPr>
      </w:pPr>
      <w:r>
        <w:rPr>
          <w:b/>
          <w:bCs/>
          <w:sz w:val="38"/>
          <w:szCs w:val="38"/>
        </w:rPr>
        <w:tab/>
      </w:r>
      <w:r>
        <w:rPr>
          <w:rFonts w:ascii="맑은 고딕" w:eastAsia="맑은 고딕" w:hAnsi="맑은 고딕" w:hint="default"/>
          <w:b/>
          <w:bCs/>
          <w:sz w:val="38"/>
          <w:szCs w:val="38"/>
        </w:rPr>
        <w:tab/>
      </w:r>
      <w:r>
        <w:rPr>
          <w:rFonts w:ascii="맑은 고딕" w:eastAsia="맑은 고딕" w:hAnsi="맑은 고딕" w:hint="default"/>
          <w:b/>
          <w:bCs/>
          <w:sz w:val="38"/>
          <w:szCs w:val="38"/>
        </w:rPr>
        <w:t>표준 개인정보처리위탁 계약서(안)</w:t>
      </w:r>
    </w:p>
    <w:p>
      <w:pPr>
        <w:rPr>
          <w:lang w:val="en-US"/>
          <w:rFonts w:ascii="맑은 고딕" w:eastAsia="맑은 고딕" w:hAnsi="맑은 고딕" w:cs="굴림"/>
        </w:rPr>
      </w:pPr>
      <w:r>
        <w:rPr/>
        <w:t>(주)하랑항공(이하 “갑”이라 한다)과 (주)온다로지스(이하 “을”이라 한다)는 “갑”의 개인정보 처리업무를 “을”에게 위탁함에 있어 다음과 같은 내용으로 본 업무위탁계약을 체결한다.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제1조 (목적)</w:t>
      </w:r>
      <w:r>
        <w:rPr>
          <w:lang w:val="en-US"/>
          <w:rFonts w:ascii="맑은 고딕" w:eastAsia="맑은 고딕" w:hAnsi="맑은 고딕" w:cs="굴림"/>
        </w:rPr>
        <w:t xml:space="preserve"> 본 계약은 “갑”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개인정보처리업무를 “을”에게 위탁하고,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이를 승낙하여 “을”의 책임</w:t>
      </w:r>
      <w:r>
        <w:rPr>
          <w:lang w:val="en-US" w:eastAsia="ko-KR"/>
          <w:rFonts w:ascii="맑은 고딕" w:eastAsia="맑은 고딕" w:hAnsi="맑은 고딕" w:cs="굴림"/>
          <w:rtl w:val="off"/>
        </w:rPr>
        <w:t xml:space="preserve"> </w:t>
      </w:r>
      <w:r>
        <w:rPr>
          <w:lang w:val="en-US"/>
          <w:rFonts w:ascii="맑은 고딕" w:eastAsia="맑은 고딕" w:hAnsi="맑은 고딕" w:cs="굴림"/>
        </w:rPr>
        <w:t>아래 성실하게 업무를 완성하도록 하는</w:t>
      </w:r>
      <w:r>
        <w:rPr>
          <w:lang w:val="en-US" w:eastAsia="ko-KR"/>
          <w:rFonts w:ascii="맑은 고딕" w:eastAsia="맑은 고딕" w:hAnsi="맑은 고딕" w:cs="굴림"/>
          <w:rtl w:val="off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데 필요한 사항을 정함을 목적으로 한다.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제2조 (용어의 정의)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 w:eastAsia="ko-KR"/>
          <w:rFonts w:ascii="맑은 고딕" w:eastAsia="맑은 고딕" w:hAnsi="맑은 고딕" w:cs="굴림"/>
          <w:rtl w:val="off"/>
        </w:rPr>
        <w:t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>
      <w:pPr>
        <w:ind w:firstLine="0"/>
        <w:widowControl/>
        <w:spacing w:after="100" w:afterAutospacing="1" w:before="100" w:beforeAutospacing="1"/>
        <w:rPr>
          <w:lang w:val="en-US" w:eastAsia="ko-KR"/>
          <w:rFonts w:ascii="맑은 고딕" w:eastAsia="맑은 고딕" w:hAnsi="맑은 고딕" w:cs="굴림"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3</w:t>
      </w:r>
      <w:r>
        <w:rPr>
          <w:lang w:val="en-US"/>
          <w:rFonts w:ascii="맑은 고딕" w:eastAsia="맑은 고딕" w:hAnsi="맑은 고딕" w:cs="굴림"/>
          <w:b/>
          <w:bCs/>
        </w:rPr>
        <w:t>조 (위탁업무의 목적 및 범위)</w:t>
      </w:r>
      <w:r>
        <w:rPr>
          <w:lang w:val="en-US"/>
          <w:rFonts w:ascii="맑은 고딕" w:eastAsia="맑은 고딕" w:hAnsi="맑은 고딕" w:cs="굴림"/>
        </w:rPr>
        <w:t xml:space="preserve"> “을”는 계약이 정하는 바에 따라 다음과 같은 개인정보 처리 업무를 수행한다.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 w:eastAsia="ko-KR"/>
          <w:rFonts w:ascii="맑은 고딕" w:eastAsia="맑은 고딕" w:hAnsi="맑은 고딕" w:cs="굴림"/>
          <w:rtl w:val="off"/>
        </w:rPr>
        <w:t xml:space="preserve">“갑”의 </w:t>
      </w:r>
      <w:r>
        <w:rPr>
          <w:lang w:val="en-US"/>
          <w:rFonts w:ascii="맑은 고딕" w:eastAsia="맑은 고딕" w:hAnsi="맑은 고딕" w:cs="굴림"/>
        </w:rPr>
        <w:t xml:space="preserve">고객 화물/수하물 물류 하역 및 배송 업무 </w:t>
      </w:r>
    </w:p>
    <w:p>
      <w:pPr>
        <w:widowControl/>
        <w:numPr>
          <w:ilvl w:val="0"/>
          <w:numId w:val="1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고객 클레임(분실, 파손, 주소 </w:t>
      </w:r>
      <w:r>
        <w:rPr>
          <w:lang w:val="en-US"/>
          <w:rFonts w:ascii="맑은 고딕" w:eastAsia="맑은 고딕" w:hAnsi="맑은 고딕" w:cs="굴림"/>
        </w:rPr>
        <w:t>오기입</w:t>
      </w:r>
      <w:r>
        <w:rPr>
          <w:lang w:val="en-US"/>
          <w:rFonts w:ascii="맑은 고딕" w:eastAsia="맑은 고딕" w:hAnsi="맑은 고딕" w:cs="굴림"/>
        </w:rPr>
        <w:t xml:space="preserve"> 등) 대응 및 예외 보상 처리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4</w:t>
      </w:r>
      <w:r>
        <w:rPr>
          <w:lang w:val="en-US"/>
          <w:rFonts w:ascii="맑은 고딕" w:eastAsia="맑은 고딕" w:hAnsi="맑은 고딕" w:cs="굴림"/>
          <w:b/>
          <w:bCs/>
        </w:rPr>
        <w:t>조 (위탁업무 기간)</w:t>
      </w:r>
      <w:r>
        <w:rPr>
          <w:lang w:val="en-US"/>
          <w:rFonts w:ascii="맑은 고딕" w:eastAsia="맑은 고딕" w:hAnsi="맑은 고딕" w:cs="굴림"/>
        </w:rPr>
        <w:t xml:space="preserve"> 본 계약에 의한 개인정보 처리업무의 기간은 다음과 같다. </w:t>
      </w:r>
    </w:p>
    <w:p>
      <w:pPr>
        <w:widowControl/>
        <w:numPr>
          <w:ilvl w:val="0"/>
          <w:numId w:val="2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계약 </w:t>
      </w:r>
      <w:r>
        <w:rPr>
          <w:lang w:val="en-US"/>
          <w:rFonts w:ascii="맑은 고딕" w:eastAsia="맑은 고딕" w:hAnsi="맑은 고딕" w:cs="굴림"/>
        </w:rPr>
        <w:t>기간 :</w:t>
      </w:r>
      <w:r>
        <w:rPr>
          <w:lang w:val="en-US"/>
          <w:rFonts w:ascii="맑은 고딕" w:eastAsia="맑은 고딕" w:hAnsi="맑은 고딕" w:cs="굴림"/>
        </w:rPr>
        <w:t xml:space="preserve"> 202</w:t>
      </w:r>
      <w:r>
        <w:rPr>
          <w:lang w:val="en-US" w:eastAsia="ko-KR"/>
          <w:rFonts w:ascii="맑은 고딕" w:eastAsia="맑은 고딕" w:hAnsi="맑은 고딕" w:cs="굴림"/>
          <w:rtl w:val="off"/>
        </w:rPr>
        <w:t>5</w:t>
      </w:r>
      <w:r>
        <w:rPr>
          <w:lang w:val="en-US"/>
          <w:rFonts w:ascii="맑은 고딕" w:eastAsia="맑은 고딕" w:hAnsi="맑은 고딕" w:cs="굴림"/>
        </w:rPr>
        <w:t xml:space="preserve">년 01월 01일 ~ 2026년 12월 31일 (또는 본 계약 해지 시까지)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5</w:t>
      </w:r>
      <w:r>
        <w:rPr>
          <w:lang w:val="en-US"/>
          <w:rFonts w:ascii="맑은 고딕" w:eastAsia="맑은 고딕" w:hAnsi="맑은 고딕" w:cs="굴림"/>
          <w:b/>
          <w:bCs/>
        </w:rPr>
        <w:t>조 (</w:t>
      </w:r>
      <w:r>
        <w:rPr>
          <w:lang w:val="en-US"/>
          <w:rFonts w:ascii="맑은 고딕" w:eastAsia="맑은 고딕" w:hAnsi="맑은 고딕" w:cs="굴림"/>
          <w:b/>
          <w:bCs/>
        </w:rPr>
        <w:t>재위탁</w:t>
      </w:r>
      <w:r>
        <w:rPr>
          <w:lang w:val="en-US"/>
          <w:rFonts w:ascii="맑은 고딕" w:eastAsia="맑은 고딕" w:hAnsi="맑은 고딕" w:cs="굴림"/>
          <w:b/>
          <w:bCs/>
        </w:rPr>
        <w:t xml:space="preserve"> 제한)</w:t>
      </w:r>
      <w:r>
        <w:rPr>
          <w:lang w:val="en-US"/>
          <w:rFonts w:ascii="맑은 고딕" w:eastAsia="맑은 고딕" w:hAnsi="맑은 고딕" w:cs="굴림"/>
        </w:rPr>
        <w:t xml:space="preserve"> ①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”갑”의 사전 서면 승낙 없이 본 계약상의 권리와 의무를 전부 또는 일부에 대하여 제3자에게 양도하거나 </w:t>
      </w:r>
      <w:r>
        <w:rPr>
          <w:lang w:val="en-US"/>
          <w:rFonts w:ascii="맑은 고딕" w:eastAsia="맑은 고딕" w:hAnsi="맑은 고딕" w:cs="굴림"/>
        </w:rPr>
        <w:t>재위탁할</w:t>
      </w:r>
      <w:r>
        <w:rPr>
          <w:lang w:val="en-US"/>
          <w:rFonts w:ascii="맑은 고딕" w:eastAsia="맑은 고딕" w:hAnsi="맑은 고딕" w:cs="굴림"/>
        </w:rPr>
        <w:t xml:space="preserve"> 수 없으며, </w:t>
      </w:r>
      <w:r>
        <w:rPr/>
        <w:t xml:space="preserve">“갑”은 </w:t>
      </w:r>
      <w:r>
        <w:rPr/>
        <w:t>재위탁 요청 사유가 타당하지 않다고</w:t>
      </w:r>
      <w:r>
        <w:rPr/>
        <w:t>판단되는 경우 이를 거부할 수 있다.</w:t>
      </w:r>
      <w:r>
        <w:rPr>
          <w:lang w:val="en-US"/>
          <w:rFonts w:ascii="맑은 고딕" w:eastAsia="맑은 고딕" w:hAnsi="맑은 고딕" w:cs="굴림"/>
        </w:rPr>
        <w:t xml:space="preserve"> ②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다른 제3의 회사와 수탁계약을 할 경우에는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해당 사실을 계약 체결 7일 이전에 “갑”에게 보고하고 협의하여야 한다. </w:t>
      </w:r>
    </w:p>
    <w:p>
      <w:pPr>
        <w:ind w:firstLine="0"/>
        <w:widowControl/>
        <w:spacing w:after="100" w:afterAutospacing="1" w:before="100" w:beforeAutospacing="1"/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6</w:t>
      </w:r>
      <w:r>
        <w:rPr>
          <w:lang w:val="en-US"/>
          <w:rFonts w:ascii="맑은 고딕" w:eastAsia="맑은 고딕" w:hAnsi="맑은 고딕" w:cs="굴림"/>
          <w:b/>
          <w:bCs/>
        </w:rPr>
        <w:t>조 (개인정보의 안전성 확보조치)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“갑”은 본 계약 제3조에 규정된 위탁하는 개인정보를 “관련 법령”에 따라 적법하게 수집하였으며, 이를 “을”에게 위탁하여 처리할 권한을 가지고 있음을 확인한다.② </w:t>
      </w:r>
      <w:r>
        <w:rPr/>
        <w:t>“을”은</w:t>
      </w:r>
      <w:r>
        <w:rPr/>
        <w:t>「개인정보 보호법」 제24조 제3항 및 제29조, 동법 시행령 제21조 및 제30조, **「개인정보의 안전성 확보조치 기준」**에 따라 개인정보의 안전성 확보에 필요한 관리적·기술적·</w:t>
      </w:r>
      <w:r>
        <w:rPr/>
        <w:t>물리적</w:t>
      </w:r>
      <w:r>
        <w:rPr/>
        <w:t xml:space="preserve">조치를 취하여야 한다.③ </w:t>
      </w:r>
      <w:r>
        <w:rPr/>
        <w:t>“갑”은</w:t>
      </w:r>
      <w:r>
        <w:rPr/>
        <w:t xml:space="preserve">해당 조치의 이행 여부를 점검할 수 있으며, 필요하다고 인정되는 경우 추가적인 보안조치를 요구할 수 있다.④ </w:t>
      </w:r>
      <w:r>
        <w:rPr/>
        <w:t>“을”은</w:t>
      </w:r>
      <w:r>
        <w:rPr/>
        <w:t xml:space="preserve">제2항에 따른 조치를 취하였음에도 불구하고, </w:t>
      </w:r>
      <w:r>
        <w:rPr/>
        <w:t>“갑”과</w:t>
      </w:r>
      <w:r>
        <w:rPr/>
        <w:t>관련된 개인정보 처리업무에 대해 보안침해 사고 또는 개인정보 유출 사고가 발생했을 경우, 그 사실을 인지한 즉시 “갑”에게 통지하여야 한다.</w:t>
      </w:r>
    </w:p>
    <w:p>
      <w:pPr>
        <w:ind w:firstLine="0"/>
        <w:widowControl/>
        <w:spacing w:after="100" w:afterAutospacing="1" w:before="100" w:beforeAutospacing="1"/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7</w:t>
      </w:r>
      <w:r>
        <w:rPr>
          <w:lang w:val="en-US"/>
          <w:rFonts w:ascii="맑은 고딕" w:eastAsia="맑은 고딕" w:hAnsi="맑은 고딕" w:cs="굴림"/>
          <w:b/>
          <w:bCs/>
        </w:rPr>
        <w:t>조 (개인정보의 처리제한)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“을”은 계약기간은 물론 계약 종료 후에도 위탁업무 수행 목적 범위를 넘어 개인정보를 이용하거나 제3자에게 제공 또는 누설하여서는 안 된다.② “을”은 계약이 해지되거나 계약기간이 만료된 경우 위탁업무와 관련하여 보유하고 있는 개인정보를 「개인정보 보호법」 시행령 제16조 및 </w:t>
      </w:r>
      <w:r>
        <w:rPr/>
        <w:t>「개인정보의 안전성 확보조치 기준」 등 관련 법령에 따라</w:t>
      </w:r>
      <w:r>
        <w:rPr/>
        <w:t xml:space="preserve">즉시 파기하거나 “갑”에게 반납하여야 한다.③ 제2항에 따라 “을”이 개인정보를 파기한 경우 지체 없이 </w:t>
      </w:r>
      <w:r>
        <w:rPr/>
        <w:t>“갑”에게 파기확인서 등 파기 결과를 입증할 수 있는 자료를 제출하여야 한다.</w:t>
      </w:r>
    </w:p>
    <w:p>
      <w:pPr>
        <w:ind w:firstLine="0"/>
        <w:widowControl/>
        <w:spacing w:after="100" w:afterAutospacing="1" w:before="100" w:beforeAutospacing="1"/>
        <w:rPr>
          <w:b w:val="0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8</w:t>
      </w:r>
      <w:r>
        <w:rPr>
          <w:lang w:val="en-US"/>
          <w:rFonts w:ascii="맑은 고딕" w:eastAsia="맑은 고딕" w:hAnsi="맑은 고딕" w:cs="굴림"/>
          <w:b/>
          <w:bCs/>
        </w:rPr>
        <w:t>조 (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수탁자</w:t>
      </w:r>
      <w:r>
        <w:rPr>
          <w:lang w:val="en-US"/>
          <w:rFonts w:ascii="맑은 고딕" w:eastAsia="맑은 고딕" w:hAnsi="맑은 고딕" w:cs="굴림"/>
          <w:b/>
          <w:bCs/>
        </w:rPr>
        <w:t>에 대한 관리·감독 등)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“갑”은</w:t>
      </w:r>
      <w:r>
        <w:rPr/>
        <w:t>“을”에</w:t>
      </w:r>
      <w:r>
        <w:rPr/>
        <w:t xml:space="preserve">대하여 다음 각 호의 사항을 감독할 수 있으며, </w:t>
      </w:r>
      <w:r>
        <w:rPr/>
        <w:t>“을”은</w:t>
      </w:r>
      <w:r>
        <w:rPr/>
        <w:t>특별한 사유가 없는 한 이에 응하여야 한다.</w:t>
      </w:r>
    </w:p>
    <w:p>
      <w:pPr>
        <w:rPr/>
      </w:pPr>
    </w:p>
    <w:p>
      <w:pPr>
        <w:pStyle w:val="afe"/>
        <w:numPr>
          <w:ilvl w:val="0"/>
          <w:numId w:val="3"/>
        </w:numPr>
        <w:rPr/>
      </w:pPr>
      <w:r>
        <w:rPr/>
        <w:t>개인정보 처리 현황</w:t>
      </w:r>
    </w:p>
    <w:p>
      <w:pPr>
        <w:pStyle w:val="afe"/>
        <w:numPr>
          <w:ilvl w:val="0"/>
          <w:numId w:val="3"/>
        </w:numPr>
        <w:rPr/>
      </w:pPr>
      <w:r>
        <w:rPr/>
        <w:t>개인정보 접근 또는 접속 현황</w:t>
      </w:r>
    </w:p>
    <w:p>
      <w:pPr>
        <w:pStyle w:val="afe"/>
        <w:numPr>
          <w:ilvl w:val="0"/>
          <w:numId w:val="3"/>
        </w:numPr>
        <w:rPr/>
      </w:pPr>
      <w:r>
        <w:rPr/>
        <w:t>개인정보 접근 또는 접속 대상자</w:t>
      </w:r>
    </w:p>
    <w:p>
      <w:pPr>
        <w:pStyle w:val="afe"/>
        <w:numPr>
          <w:ilvl w:val="0"/>
          <w:numId w:val="3"/>
        </w:numPr>
        <w:rPr/>
      </w:pPr>
      <w:r>
        <w:rPr/>
        <w:t>목적 외 이용·제공 및 재위탁 금지 준수 여부</w:t>
      </w:r>
    </w:p>
    <w:p>
      <w:pPr>
        <w:pStyle w:val="afe"/>
        <w:numPr>
          <w:ilvl w:val="0"/>
          <w:numId w:val="3"/>
        </w:numPr>
        <w:rPr/>
      </w:pPr>
      <w:r>
        <w:rPr/>
        <w:t>암호화 등 안전성 확보조치 이행 여부</w:t>
      </w:r>
    </w:p>
    <w:p>
      <w:pPr>
        <w:pStyle w:val="afe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/>
        <w:t xml:space="preserve">그 밖에 개인정보의 보호를 위하여 필요한 사항② </w:t>
      </w:r>
      <w:r>
        <w:rPr/>
        <w:t>“갑”은</w:t>
      </w:r>
      <w:r>
        <w:rPr/>
        <w:t xml:space="preserve">제1항 각 호의 사항에 대한 실태를 점검하기 위하여 필요시 </w:t>
      </w:r>
      <w:r>
        <w:rPr/>
        <w:t>“을”에게</w:t>
      </w:r>
      <w:r>
        <w:rPr/>
        <w:t xml:space="preserve">관련 자료의 제출을 요구하거나 현장 방문 점검을 실시할 수 있으며, 점검 결과 시정 요구가 있는 경우 </w:t>
      </w:r>
      <w:r>
        <w:rPr/>
        <w:t>“을”은</w:t>
      </w:r>
      <w:r>
        <w:rPr/>
        <w:t>특별한 사유가 없는 한 이를 지체 없이 이행하여야 한다.</w:t>
      </w:r>
    </w:p>
    <w:p>
      <w:pPr>
        <w:pStyle w:val="afe"/>
        <w:ind w:leftChars="0" w:left="800"/>
        <w:rPr>
          <w:lang w:val="en-US" w:eastAsia="ko-KR"/>
          <w:rFonts w:ascii="맑은 고딕" w:eastAsia="맑은 고딕" w:hAnsi="맑은 고딕" w:cs="굴림" w:hint="eastAsia"/>
          <w:rtl w:val="off"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제9조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 xml:space="preserve"> (수탁자에 대한 교육)</w:t>
      </w:r>
      <w:r>
        <w:rPr/>
        <w:t xml:space="preserve">① </w:t>
      </w:r>
      <w:r>
        <w:rPr/>
        <w:t>“갑”은</w:t>
      </w:r>
      <w:r>
        <w:rPr/>
        <w:t xml:space="preserve">「개인정보 보호법」 제26조 제4항에 따라 개인정보 처리 업무의 위탁으로 인하여 정보주체의 개인정보가 분실·도난·유출·변조 또는 훼손되지 아니하도록 </w:t>
      </w:r>
      <w:r>
        <w:rPr/>
        <w:t>“을”을</w:t>
      </w:r>
      <w:r>
        <w:rPr/>
        <w:t xml:space="preserve">교육할 수 있으며, </w:t>
      </w:r>
      <w:r>
        <w:rPr/>
        <w:t>“을”은</w:t>
      </w:r>
      <w:r>
        <w:rPr/>
        <w:t xml:space="preserve">이에 응하여야 한다. </w:t>
      </w:r>
      <w:r>
        <w:rPr/>
        <w:t>“을”은</w:t>
      </w:r>
      <w:r>
        <w:rPr/>
        <w:t>“갑”과</w:t>
      </w:r>
      <w:r>
        <w:rPr/>
        <w:t xml:space="preserve">협의하여 </w:t>
      </w:r>
      <w:r>
        <w:rPr/>
        <w:t>“을”의</w:t>
      </w:r>
      <w:r>
        <w:rPr/>
        <w:t xml:space="preserve">책임 하에 그의 개인정보 취급자 등에게 교육을 실시할 수 있다.② 제1항에 따른 교육은 집합교육, 온라인 교육 등의 방식 등 교육 목적을 달성할 수 있는 범위 내에서 다양한 방식으로 진행될 수 있으며, 구체적인 방식에 대하여는 </w:t>
      </w:r>
      <w:r>
        <w:rPr/>
        <w:t>“갑”과</w:t>
      </w:r>
      <w:r>
        <w:rPr/>
        <w:t>“을”은</w:t>
      </w:r>
      <w:r>
        <w:rPr/>
        <w:t xml:space="preserve">별도로 협의하여 정할 수 있다. 다만, </w:t>
      </w:r>
      <w:r>
        <w:rPr/>
        <w:t>“을”이</w:t>
      </w:r>
      <w:r>
        <w:rPr/>
        <w:t xml:space="preserve">자체적으로 또는 제3자인 전문업체를 통해 교육을 실시하는 경우에는 </w:t>
      </w:r>
      <w:r>
        <w:rPr/>
        <w:t>“을”은</w:t>
      </w:r>
      <w:r>
        <w:rPr/>
        <w:t xml:space="preserve">교육의 시행 여부 및 결과 등을 </w:t>
      </w:r>
      <w:r>
        <w:rPr/>
        <w:t>“갑”에게</w:t>
      </w:r>
      <w:r>
        <w:rPr/>
        <w:t xml:space="preserve">증빙자료와 함께 보고하여야 하고, </w:t>
      </w:r>
      <w:r>
        <w:rPr/>
        <w:t>“갑”은</w:t>
      </w:r>
      <w:r>
        <w:rPr/>
        <w:t xml:space="preserve">보고 내용을 주기적으로 점검할 수 있다.③ 그 밖에 구체적인 교육의 시기와 방법 등에 대해서는 </w:t>
      </w:r>
      <w:r>
        <w:rPr/>
        <w:t>“갑”은</w:t>
      </w:r>
      <w:r>
        <w:rPr/>
        <w:t>“을”과</w:t>
      </w:r>
      <w:r>
        <w:rPr/>
        <w:t>협의하여 시행한다.</w:t>
      </w: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제9조의2 (이행점검 및 시정조치)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“갑”은</w:t>
      </w:r>
      <w:r>
        <w:rPr/>
        <w:t>“을”의</w:t>
      </w:r>
      <w:r>
        <w:rPr/>
        <w:t xml:space="preserve">시정조치 이행 여부를 확인하기 위하여 이행점검(후속점검)을 실시할 수 있다.② 이행점검의 범위·방법·세부 절차는 </w:t>
      </w:r>
      <w:r>
        <w:rPr/>
        <w:t>“갑”이</w:t>
      </w:r>
      <w:r>
        <w:rPr/>
        <w:t xml:space="preserve">정한 기준에 따른다.③ </w:t>
      </w:r>
      <w:r>
        <w:rPr/>
        <w:t>“을”은</w:t>
      </w:r>
      <w:r>
        <w:rPr/>
        <w:t xml:space="preserve">이행점검에 필요한 자료·증적을 합의된 기한 내에 제출해야 한다.④ </w:t>
      </w:r>
      <w:r>
        <w:rPr/>
        <w:t>“을”은</w:t>
      </w:r>
      <w:r>
        <w:rPr/>
        <w:t xml:space="preserve">최초 점검에서 확인된 개선 사항을 특별한 사유가 없는 한 3개월 이내에 조치하여야 한다.⑤ </w:t>
      </w:r>
      <w:r>
        <w:rPr/>
        <w:t>“을”이</w:t>
      </w:r>
      <w:r>
        <w:rPr/>
        <w:t xml:space="preserve">시정조치를 기한 내 이행하지 아니한 경우, </w:t>
      </w:r>
      <w:r>
        <w:rPr/>
        <w:t>“갑”은</w:t>
      </w:r>
      <w:r>
        <w:rPr/>
        <w:t>필요 시 계약 해지, 업무 중지 등 필요한 조치를 취할 수 있다.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제10조 (정보주체 권리보장)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 xml:space="preserve">정보주체의 개인정보 열람, 정정·삭제, 처리 정지 요청 등에 대응하기 위한 연락처 등 민원 창구를 마련해야 한다.② </w:t>
      </w:r>
      <w:r>
        <w:rPr/>
        <w:t>“을”은</w:t>
      </w:r>
      <w:r>
        <w:rPr/>
        <w:t xml:space="preserve">접수된 민원·권리요구 처리결과를 지체 없이 </w:t>
      </w:r>
      <w:r>
        <w:rPr/>
        <w:t>“갑”에게</w:t>
      </w:r>
      <w:r>
        <w:rPr/>
        <w:t>공유해야 한다.</w:t>
      </w:r>
    </w:p>
    <w:p>
      <w:pPr>
        <w:rPr>
          <w:lang w:val="en-US"/>
          <w:rFonts w:ascii="맑은 고딕" w:eastAsia="맑은 고딕" w:hAnsi="맑은 고딕" w:cs="굴림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제11조 (개인정보의 파기)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 xml:space="preserve">위탁업무기간이 종료되면 관련 법령에 따라 지체 없이 개인정보를 파기하고 이를 </w:t>
      </w:r>
      <w:r>
        <w:rPr/>
        <w:t>“갑”에게</w:t>
      </w:r>
      <w:r>
        <w:rPr/>
        <w:t xml:space="preserve">확인받아야 한다.② 제1항에도 불구하고 「전자상거래 등에서의 소비자보호에 관한 법률」 등 관련 법령의 규정에 의하여 보존할 필요가 있는 경우 </w:t>
      </w:r>
      <w:r>
        <w:rPr/>
        <w:t>“을”은</w:t>
      </w:r>
      <w:r>
        <w:rPr/>
        <w:t>해당 법령에서 정한 기간 동안 정보를 보존할 수 있다.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제12조 (손해배상)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</w:t>
      </w:r>
      <w:r>
        <w:rPr/>
        <w:t xml:space="preserve">또는 </w:t>
      </w:r>
      <w:r>
        <w:rPr/>
        <w:t>“을”의</w:t>
      </w:r>
      <w:r>
        <w:rPr/>
        <w:t xml:space="preserve">임직원, 기타 </w:t>
      </w:r>
      <w:r>
        <w:rPr/>
        <w:t>“재수탁자”가</w:t>
      </w:r>
      <w:r>
        <w:rPr/>
        <w:t xml:space="preserve">이 계약에 따른 의무를 위반하거나 귀책사유로 인하여 </w:t>
      </w:r>
      <w:r>
        <w:rPr/>
        <w:t>“갑”</w:t>
      </w:r>
      <w:r>
        <w:rPr/>
        <w:t xml:space="preserve">또는 개인정보주체 기타 제3자에게 손해가 발생한 경우 </w:t>
      </w:r>
      <w:r>
        <w:rPr/>
        <w:t>“을”은</w:t>
      </w:r>
      <w:r>
        <w:rPr/>
        <w:t xml:space="preserve">그 손해를 배상하여야 한다.② 제1항과 관련하여 개인정보주체 기타 제3자에게 발생한 손해에 대하여 </w:t>
      </w:r>
      <w:r>
        <w:rPr/>
        <w:t>“갑”이</w:t>
      </w:r>
      <w:r>
        <w:rPr/>
        <w:t xml:space="preserve">전부 또는 일부를 배상한 때에는 </w:t>
      </w:r>
      <w:r>
        <w:rPr/>
        <w:t>“갑”은</w:t>
      </w:r>
      <w:r>
        <w:rPr/>
        <w:t xml:space="preserve">이를 </w:t>
      </w:r>
      <w:r>
        <w:rPr/>
        <w:t>“을”에게</w:t>
      </w:r>
      <w:r>
        <w:rPr/>
        <w:t>구상할 수 있다.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제13조 (보안요구사항 준수)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>“갑”이</w:t>
      </w:r>
      <w:r>
        <w:rPr/>
        <w:t xml:space="preserve">제시한 보안요구사항을 준수하여야 하며, 세부 사항은 [붙임 1] 「보안요구사항 세부 목록」에 따른다.② </w:t>
      </w:r>
      <w:r>
        <w:rPr/>
        <w:t>“갑”은</w:t>
      </w:r>
      <w:r>
        <w:rPr/>
        <w:t xml:space="preserve">필요 시 보안요구사항을 변경할 수 있으며, </w:t>
      </w:r>
      <w:r>
        <w:rPr/>
        <w:t>“을”은</w:t>
      </w:r>
      <w:r>
        <w:rPr/>
        <w:t>변경된 내용에 따라 조치를 이행하여야 한다.</w:t>
      </w:r>
    </w:p>
    <w:p>
      <w:pPr>
        <w:rPr>
          <w:b w:val="0"/>
        </w:rPr>
      </w:pPr>
    </w:p>
    <w:p>
      <w:pPr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제14조 (가명정보 처리 위탁 시)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 xml:space="preserve">가명정보를 위탁받은 범위 외로 처리하여서는 안 된다.② </w:t>
      </w:r>
      <w:r>
        <w:rPr/>
        <w:t>“을”이</w:t>
      </w:r>
      <w:r>
        <w:rPr/>
        <w:t xml:space="preserve">가명정보를 처리할 때에는 「개인정보 보호법」 제28조의4에 따라 안전조치를 하여야 한다.③ </w:t>
      </w:r>
      <w:r>
        <w:rPr/>
        <w:t>“을”은</w:t>
      </w:r>
      <w:r>
        <w:rPr/>
        <w:t xml:space="preserve">특정 개인을 알아보기 위한 목적으로 가명정보를 처리하거나 재식별을 시도해서는 안 된다.④ </w:t>
      </w:r>
      <w:r>
        <w:rPr/>
        <w:t>“을”은</w:t>
      </w:r>
      <w:r>
        <w:rPr/>
        <w:t>가명정보 처리 과정에서 특정 개인을 알아볼 수 있는 정보가 생성된 경우 즉시 처리를 중지하고, 지체 없이 이를 파기하여야 한다.</w:t>
      </w: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제15조 (분쟁의 해결)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>본 계약에서 정하지 않은 사항이나 해석상 이견이 있는 경우에는 관련 법령 및 일반적 상관례에 따라 상호 합의하여 해결한다.</w:t>
      </w:r>
    </w:p>
    <w:p>
      <w:pPr>
        <w:rPr/>
      </w:pPr>
    </w:p>
    <w:p>
      <w:pPr>
        <w:rPr>
          <w:b w:val="0"/>
        </w:rPr>
      </w:pPr>
      <w:r>
        <w:rPr>
          <w:lang w:val="en-US"/>
          <w:rFonts w:ascii="맑은 고딕" w:eastAsia="맑은 고딕" w:hAnsi="맑은 고딕" w:cs="굴림"/>
          <w:b/>
          <w:bCs/>
        </w:rPr>
        <w:t>제16조 (비밀유지의무)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양 당사자는 업무 수행 과정에서 알게 된 상대방의 개인정보 및 영업상·기술상의 비밀을 제3자에게 누설하거나 목적 외로 사용해서는 안 된다.② </w:t>
      </w:r>
      <w:r>
        <w:rPr/>
        <w:t>“을”은</w:t>
      </w:r>
      <w:r>
        <w:rPr/>
        <w:t>종사자 및 관련 업체가 동일한 수준의 비밀유지 의무를 준수하도록 관리·감독하여야 한다.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본 계약의 내용을 증명하기 위하여 계약서 2부를 작성하고, “갑”와 “을”가 서명 또는 날인한 후 각 1부씩 보관한다.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jc w:val="center"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2026년 3월 11일</w:t>
      </w:r>
    </w:p>
    <w:p>
      <w:pPr>
        <w:ind w:firstLine="0"/>
        <w:widowControl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 w:hint="eastAsia"/>
        </w:rPr>
      </w:pPr>
      <w:r>
        <w:rPr>
          <w:lang w:val="en-US"/>
          <w:rFonts w:ascii="맑은 고딕" w:eastAsia="맑은 고딕" w:hAnsi="맑은 고딕" w:cs="굴림"/>
          <w:b/>
          <w:bCs/>
        </w:rPr>
        <w:t>[갑]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   </w:t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  <w:b/>
          <w:bCs/>
        </w:rPr>
        <w:t>[을]</w:t>
      </w:r>
      <w:r>
        <w:rPr>
          <w:lang w:val="en-US"/>
          <w:rFonts w:ascii="맑은 고딕" w:eastAsia="맑은 고딕" w:hAnsi="맑은 고딕" w:cs="굴림"/>
        </w:rPr>
        <w:t xml:space="preserve">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기관(회사)</w:t>
      </w:r>
      <w:r>
        <w:rPr>
          <w:lang w:val="en-US"/>
          <w:rFonts w:ascii="맑은 고딕" w:eastAsia="맑은 고딕" w:hAnsi="맑은 고딕" w:cs="굴림"/>
          <w:b/>
          <w:bCs/>
        </w:rPr>
        <w:t>명 :</w:t>
      </w:r>
      <w:r>
        <w:rPr>
          <w:lang w:val="en-US"/>
          <w:rFonts w:ascii="맑은 고딕" w:eastAsia="맑은 고딕" w:hAnsi="맑은 고딕" w:cs="굴림"/>
        </w:rPr>
        <w:t xml:space="preserve"> (주)</w:t>
      </w:r>
      <w:r>
        <w:rPr>
          <w:lang w:val="en-US"/>
          <w:rFonts w:ascii="맑은 고딕" w:eastAsia="맑은 고딕" w:hAnsi="맑은 고딕" w:cs="굴림"/>
        </w:rPr>
        <w:t>하랑항공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                </w:t>
      </w:r>
      <w:r>
        <w:rPr>
          <w:lang w:val="en-US"/>
          <w:rFonts w:ascii="맑은 고딕" w:eastAsia="맑은 고딕" w:hAnsi="맑은 고딕" w:cs="굴림"/>
          <w:b/>
          <w:bCs/>
        </w:rPr>
        <w:t>기관(회사)명 :</w:t>
      </w:r>
      <w:r>
        <w:rPr>
          <w:lang w:val="en-US"/>
          <w:rFonts w:ascii="맑은 고딕" w:eastAsia="맑은 고딕" w:hAnsi="맑은 고딕" w:cs="굴림"/>
        </w:rPr>
        <w:t xml:space="preserve"> (주)</w:t>
      </w:r>
      <w:r>
        <w:rPr>
          <w:lang w:val="en-US"/>
          <w:rFonts w:ascii="맑은 고딕" w:eastAsia="맑은 고딕" w:hAnsi="맑은 고딕" w:cs="굴림"/>
        </w:rPr>
        <w:t>온다로지스</w:t>
      </w:r>
    </w:p>
    <w:p>
      <w:pPr>
        <w:ind w:left="360"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 xml:space="preserve">주 </w:t>
      </w:r>
      <w:r>
        <w:rPr>
          <w:lang w:val="en-US"/>
          <w:rFonts w:ascii="맑은 고딕" w:eastAsia="맑은 고딕" w:hAnsi="맑은 고딕" w:cs="굴림"/>
          <w:b/>
          <w:bCs/>
        </w:rPr>
        <w:t>소 :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 w:eastAsia="ko-KR"/>
          <w:rFonts w:ascii="맑은 고딕" w:eastAsia="맑은 고딕" w:hAnsi="맑은 고딕" w:cs="굴림"/>
          <w:rtl w:val="off"/>
        </w:rPr>
        <w:t>서울</w:t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  <w:b/>
          <w:bCs/>
        </w:rPr>
        <w:t>주 소 :</w:t>
      </w:r>
      <w:r>
        <w:rPr>
          <w:lang w:val="en-US"/>
          <w:rFonts w:ascii="맑은 고딕" w:eastAsia="맑은 고딕" w:hAnsi="맑은 고딕" w:cs="굴림"/>
        </w:rPr>
        <w:t xml:space="preserve">  </w:t>
      </w:r>
    </w:p>
    <w:p>
      <w:pPr>
        <w:ind w:left="360"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</w:p>
    <w:p>
      <w:pPr>
        <w:ind w:left="360"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 xml:space="preserve">대표자 </w:t>
      </w:r>
      <w:r>
        <w:rPr>
          <w:lang w:val="en-US"/>
          <w:rFonts w:ascii="맑은 고딕" w:eastAsia="맑은 고딕" w:hAnsi="맑은 고딕" w:cs="굴림"/>
          <w:b/>
          <w:bCs/>
        </w:rPr>
        <w:t>성명 :</w:t>
      </w:r>
      <w:r>
        <w:rPr>
          <w:lang w:val="en-US"/>
          <w:rFonts w:ascii="맑은 고딕" w:eastAsia="맑은 고딕" w:hAnsi="맑은 고딕" w:cs="굴림"/>
          <w:b/>
          <w:bCs/>
        </w:rPr>
        <w:t xml:space="preserve">                    (</w:t>
      </w:r>
      <w:r>
        <w:rPr>
          <w:lang w:val="en-US"/>
          <w:rFonts w:ascii="맑은 고딕" w:eastAsia="맑은 고딕" w:hAnsi="맑은 고딕" w:cs="굴림" w:hint="eastAsia"/>
        </w:rPr>
        <w:t>인</w:t>
      </w:r>
      <w:r>
        <w:rPr>
          <w:lang w:val="en-US"/>
          <w:rFonts w:ascii="맑은 고딕" w:eastAsia="맑은 고딕" w:hAnsi="맑은 고딕" w:cs="굴림"/>
        </w:rPr>
        <w:t xml:space="preserve">) </w:t>
      </w:r>
      <w:r>
        <w:rPr>
          <w:lang w:val="en-US"/>
          <w:rFonts w:ascii="맑은 고딕" w:eastAsia="맑은 고딕" w:hAnsi="맑은 고딕" w:cs="굴림"/>
        </w:rPr>
        <w:t xml:space="preserve">     </w:t>
      </w:r>
      <w:r>
        <w:rPr>
          <w:lang w:val="en-US"/>
          <w:rFonts w:ascii="맑은 고딕" w:eastAsia="맑은 고딕" w:hAnsi="맑은 고딕" w:cs="굴림"/>
          <w:b/>
          <w:bCs/>
        </w:rPr>
        <w:t>대표자 성명 :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                     </w:t>
      </w:r>
      <w:r>
        <w:rPr>
          <w:lang w:val="en-US"/>
          <w:rFonts w:ascii="맑은 고딕" w:eastAsia="맑은 고딕" w:hAnsi="맑은 고딕" w:cs="굴림"/>
        </w:rPr>
        <w:t>(인)</w:t>
      </w:r>
    </w:p>
    <w:p>
      <w:pPr>
        <w:ind w:firstLine="0"/>
        <w:widowControl/>
        <w:spacing w:after="100" w:afterAutospacing="1" w:before="100" w:beforeAutospacing="1"/>
        <w:rPr>
          <w:lang/>
          <w:rFonts w:ascii="맑은 고딕" w:eastAsia="맑은 고딕" w:hAnsi="맑은 고딕" w:cs="굴림"/>
          <w:b/>
          <w:bCs/>
          <w:rtl w:val="off"/>
        </w:rPr>
      </w:pPr>
    </w:p>
    <w:p>
      <w:pPr>
        <w:ind w:firstLine="0"/>
        <w:widowControl/>
        <w:spacing w:after="100" w:afterAutospacing="1" w:before="100" w:beforeAutospacing="1"/>
        <w:rPr>
          <w:lang/>
          <w:rFonts w:ascii="맑은 고딕" w:eastAsia="맑은 고딕" w:hAnsi="맑은 고딕" w:cs="굴림"/>
          <w:b/>
          <w:bCs/>
          <w:rtl w:val="off"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붙임 1 「보안요구사항 세부 목록」</w:t>
      </w:r>
      <w:r>
        <w:rPr>
          <w:lang w:val="en-US"/>
          <w:rFonts w:ascii="맑은 고딕" w:eastAsia="맑은 고딕" w:hAnsi="맑은 고딕" w:cs="굴림"/>
        </w:rPr>
        <w:t xml:space="preserve">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1. 공통적으로 지켜야 하는 사항 </w:t>
      </w:r>
    </w:p>
    <w:p>
      <w:pPr>
        <w:widowControl/>
        <w:numPr>
          <w:ilvl w:val="0"/>
          <w:numId w:val="4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1-1. 보안 요구사항은 개인정보 위·수탁 처리 과정에서 개인정보의 안전한 관리와 지속적인 보안 수준 유지를 위해 마련되어야 함 </w:t>
      </w:r>
    </w:p>
    <w:p>
      <w:pPr>
        <w:widowControl/>
        <w:numPr>
          <w:ilvl w:val="0"/>
          <w:numId w:val="4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1-2. 모든 참여 기관은 「개인정보보호법」 및 발주기관의 위·수탁 관리지침을 준수하고, 개인정보 처리 현황을 주기적으로 점검해야 함 </w:t>
      </w:r>
    </w:p>
    <w:p>
      <w:pPr>
        <w:widowControl/>
        <w:numPr>
          <w:ilvl w:val="0"/>
          <w:numId w:val="4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1-3. 개인정보는 수집부터 보관, 파기까지 관리적 통제가 이루어져야 하며, 파기 시 그 결과를 보고 및 증빙자료로 제출해야 함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2. 갑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지켜야 하는 사항 </w:t>
      </w:r>
    </w:p>
    <w:p>
      <w:pPr>
        <w:widowControl/>
        <w:numPr>
          <w:ilvl w:val="0"/>
          <w:numId w:val="5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2-1. 갑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위·수탁 계약 시 기술적·관리적 보호조치, </w:t>
      </w:r>
      <w:r>
        <w:rPr>
          <w:lang w:val="en-US"/>
          <w:rFonts w:ascii="맑은 고딕" w:eastAsia="맑은 고딕" w:hAnsi="맑은 고딕" w:cs="굴림"/>
        </w:rPr>
        <w:t>재위탁</w:t>
      </w:r>
      <w:r>
        <w:rPr>
          <w:lang w:val="en-US"/>
          <w:rFonts w:ascii="맑은 고딕" w:eastAsia="맑은 고딕" w:hAnsi="맑은 고딕" w:cs="굴림"/>
        </w:rPr>
        <w:t xml:space="preserve"> 제한, 손해배상 책임, 준수사항 위반 시 계약 해지 조항을 반드시 포함해야 함 </w:t>
      </w:r>
    </w:p>
    <w:p>
      <w:pPr>
        <w:widowControl/>
        <w:numPr>
          <w:ilvl w:val="0"/>
          <w:numId w:val="5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2-2. 갑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을의 개인정보 처리 범위와 접근권한을 명확히 정의하고, </w:t>
      </w:r>
      <w:r>
        <w:rPr>
          <w:lang w:val="en-US"/>
          <w:rFonts w:ascii="맑은 고딕" w:eastAsia="맑은 고딕" w:hAnsi="맑은 고딕" w:cs="굴림"/>
        </w:rPr>
        <w:t>재위탁</w:t>
      </w:r>
      <w:r>
        <w:rPr>
          <w:lang w:val="en-US"/>
          <w:rFonts w:ascii="맑은 고딕" w:eastAsia="맑은 고딕" w:hAnsi="맑은 고딕" w:cs="굴림"/>
        </w:rPr>
        <w:t xml:space="preserve"> 시 반드시 사전 승인을 받아야 함 </w:t>
      </w:r>
    </w:p>
    <w:p>
      <w:pPr>
        <w:widowControl/>
        <w:numPr>
          <w:ilvl w:val="0"/>
          <w:numId w:val="5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2-3. 을의 보안 이행 상태를 정기적으로 점검하고, 개선조치 내역을 관리해야 함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3. 을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지켜야 하는 사항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3-1. 을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개인정보 처리 시 최소권한 원칙을 준수하고, 접근권한을 체계적으로 관리해야 함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3-2. 개인정보 전송 구간에는 SFTP 또는 이에 준하는 암호화 통신을 적용해야 하며, 저장 구간의 개인정보는 안전하게 암호화해야 함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3-3. 개인정보 접근기록 및 처리 내역은 로그로 관리하고, 위·변조 방지를 위해 정기적으로 점검해야 함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3-4. 전산실 및 </w:t>
      </w:r>
      <w:r>
        <w:rPr>
          <w:lang w:val="en-US"/>
          <w:rFonts w:ascii="맑은 고딕" w:eastAsia="맑은 고딕" w:hAnsi="맑은 고딕" w:cs="굴림"/>
        </w:rPr>
        <w:t>서버실</w:t>
      </w:r>
      <w:r>
        <w:rPr>
          <w:lang w:val="en-US"/>
          <w:rFonts w:ascii="맑은 고딕" w:eastAsia="맑은 고딕" w:hAnsi="맑은 고딕" w:cs="굴림"/>
        </w:rPr>
        <w:t xml:space="preserve"> 등 주요 시설은 출입통제와 CCTV 설치를 통해 물리적 보안을 확보해야 함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4. 점검·보고 및 검증 관련 사항 </w:t>
      </w:r>
    </w:p>
    <w:p>
      <w:pPr>
        <w:widowControl/>
        <w:numPr>
          <w:ilvl w:val="0"/>
          <w:numId w:val="7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4-1. 정기점검 및 보안점검 결과는 갑에게 보고하고, 관련 증빙자료를 제출해야 함 </w:t>
      </w:r>
    </w:p>
    <w:p>
      <w:pPr>
        <w:widowControl/>
        <w:numPr>
          <w:ilvl w:val="0"/>
          <w:numId w:val="7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4-2. 계약 종료 또는 위탁관계 해지 시에는 모든 개인정보를 복구 불가능한 형태로 완전 파기해야 하며, 파기 결과 문서 및 증빙자료를 제출해야 함 </w:t>
      </w:r>
    </w:p>
    <w:p>
      <w:pPr>
        <w:pBdr>
          <w:between w:val="nil"/>
          <w:top w:val="nil"/>
          <w:left w:val="nil"/>
          <w:bottom w:val="nil"/>
          <w:right w:val="nil"/>
        </w:pBdr>
        <w:rPr>
          <w:lang w:val="en-US"/>
          <w:rFonts w:ascii="맑은 고딕" w:eastAsia="맑은 고딕" w:hAnsi="맑은 고딕" w:hint="default"/>
          <w:sz w:val="2"/>
          <w:szCs w:val="2"/>
        </w:rPr>
      </w:pPr>
    </w:p>
    <w:sectPr>
      <w:pgSz w:w="11905" w:h="16837"/>
      <w:pgMar w:top="1417" w:right="1133" w:bottom="1417" w:left="1133" w:header="566" w:footer="566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함초롬바탕">
    <w:panose1 w:val="02030604000101010101"/>
    <w:family w:val="modern"/>
    <w:charset w:val="81"/>
    <w:notTrueType w:val="false"/>
    <w:sig w:usb0="F70006FF" w:usb1="19DFFFFF" w:usb2="001BFDD7" w:usb3="00000001" w:csb0="001F01FF" w:csb1="00000001"/>
  </w:font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cf952e1"/>
    <w:multiLevelType w:val="multilevel"/>
    <w:tmpl w:val="8438d24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2d6526a7"/>
    <w:multiLevelType w:val="multilevel"/>
    <w:tmpl w:val="1168465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ffff7320"/>
    <w:multiLevelType w:val="hybridMultilevel"/>
    <w:lvl w:ilvl="0" w:tplc="409000f">
      <w:start w:val="1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3">
    <w:nsid w:val="27cf71fe"/>
    <w:multiLevelType w:val="multilevel"/>
    <w:tmpl w:val="e014036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56c041bf"/>
    <w:multiLevelType w:val="multilevel"/>
    <w:tmpl w:val="169a5a7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2cac735f"/>
    <w:multiLevelType w:val="multilevel"/>
    <w:tmpl w:val="89389fa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58676f"/>
    <w:multiLevelType w:val="multilevel"/>
    <w:tmpl w:val="afe8f39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5079762e"/>
    <w:multiLevelType w:val="multilevel"/>
    <w:tmpl w:val="ff56440a"/>
    <w:lvl w:ilvl="0">
      <w:start w:val="1"/>
      <w:lvlText w:val="%1."/>
      <w:lvlJc w:val="left"/>
      <w:pStyle w:val="1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Style w:val="2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Style w:val="3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Style w:val="4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Style w:val="5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Style w:val="6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Style w:val="7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 w:eastAsia="ko-KR" w:bidi="ar-SA"/>
        <w:rFonts w:ascii="맑은 고딕" w:eastAsia="맑은 고딕" w:hAnsi="맑은 고딕" w:cs="맑은 고딕"/>
        <w:sz w:val="24"/>
        <w:szCs w:val="24"/>
      </w:rPr>
    </w:rPrDefault>
    <w:pPrDefault>
      <w:pPr>
        <w:ind w:hanging="2"/>
        <w:widowControl w:val="off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0">
    <w:name w:val="heading 1"/>
    <w:uiPriority w:val="9"/>
    <w:basedOn w:val="a"/>
    <w:next w:val="a"/>
    <w:qFormat/>
    <w:pPr>
      <w:keepNext/>
      <w:keepLines/>
      <w:outlineLvl w:val="0"/>
      <w:spacing w:after="120" w:before="480"/>
    </w:pPr>
    <w:rPr>
      <w:b/>
      <w:bCs/>
      <w:sz w:val="48"/>
      <w:szCs w:val="48"/>
    </w:rPr>
  </w:style>
  <w:style w:type="paragraph" w:styleId="20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80" w:before="360"/>
    </w:pPr>
    <w:rPr>
      <w:b/>
      <w:bCs/>
      <w:sz w:val="36"/>
      <w:szCs w:val="36"/>
    </w:rPr>
  </w:style>
  <w:style w:type="paragraph" w:styleId="30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280"/>
    </w:pPr>
    <w:rPr>
      <w:b/>
      <w:bCs/>
      <w:sz w:val="28"/>
      <w:szCs w:val="28"/>
    </w:rPr>
  </w:style>
  <w:style w:type="paragraph" w:styleId="40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40" w:before="240"/>
    </w:pPr>
    <w:rPr>
      <w:b/>
      <w:bCs/>
    </w:rPr>
  </w:style>
  <w:style w:type="paragraph" w:styleId="50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40" w:before="220"/>
    </w:pPr>
    <w:rPr>
      <w:b/>
      <w:bCs/>
    </w:rPr>
  </w:style>
  <w:style w:type="paragraph" w:styleId="60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40" w:before="20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120" w:before="480"/>
    </w:pPr>
    <w:rPr>
      <w:b/>
      <w:bCs/>
      <w:sz w:val="72"/>
      <w:szCs w:val="72"/>
    </w:rPr>
  </w:style>
  <w:style w:type="paragraph" w:styleId="a4">
    <w:name w:val="header"/>
    <w:qFormat/>
  </w:style>
  <w:style w:type="character" w:customStyle="1" w:styleId="Char">
    <w:name w:val="머리글 Char"/>
    <w:basedOn w:val="a0"/>
    <w:rPr>
      <w:w w:val="100"/>
      <w:cs w:val="off"/>
      <w:effect w:val="none"/>
      <w:em w:val="none"/>
      <w:position w:val="0"/>
      <w:vertAlign w:val="baseline"/>
    </w:rPr>
  </w:style>
  <w:style w:type="paragraph" w:styleId="a5">
    <w:name w:val="footer"/>
    <w:qFormat/>
  </w:style>
  <w:style w:type="character" w:customStyle="1" w:styleId="Char0">
    <w:name w:val="바닥글 Char"/>
    <w:basedOn w:val="a0"/>
    <w:rPr>
      <w:w w:val="100"/>
      <w:cs w:val="off"/>
      <w:effect w:val="none"/>
      <w:em w:val="none"/>
      <w:position w:val="0"/>
      <w:vertAlign w:val="baseline"/>
    </w:rPr>
  </w:style>
  <w:style w:type="character" w:styleId="a6">
    <w:name w:val="Hyperlink"/>
    <w:qFormat/>
    <w:rPr>
      <w:color w:val="0000FF"/>
      <w:w w:val="100"/>
      <w:cs w:val="off"/>
      <w:effect w:val="none"/>
      <w:em w:val="none"/>
      <w:u w:val="single" w:color="auto"/>
      <w:position w:val="0"/>
      <w:vertAlign w:val="baseline"/>
    </w:rPr>
  </w:style>
  <w:style w:type="character" w:styleId="a7">
    <w:name w:val="footnote reference"/>
    <w:qFormat/>
    <w:rPr>
      <w:w w:val="100"/>
      <w:cs w:val="off"/>
      <w:effect w:val="none"/>
      <w:em w:val="none"/>
      <w:position w:val="0"/>
      <w:vertAlign w:val="superscript"/>
    </w:rPr>
  </w:style>
  <w:style w:type="character" w:styleId="a8">
    <w:name w:val="endnote reference"/>
    <w:qFormat/>
    <w:rPr>
      <w:w w:val="100"/>
      <w:cs w:val="off"/>
      <w:effect w:val="none"/>
      <w:em w:val="none"/>
      <w:position w:val="0"/>
      <w:vertAlign w:val="superscript"/>
    </w:rPr>
  </w:style>
  <w:style w:type="paragraph" w:customStyle="1" w:styleId="a9">
    <w:name w:val="바탕글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11">
    <w:name w:val="본문1"/>
    <w:pPr>
      <w:ind w:leftChars="-1" w:left="300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1">
    <w:name w:val="개요 1"/>
    <w:pPr>
      <w:ind w:leftChars="-1" w:left="200" w:hangingChars="1" w:hanging="1"/>
      <w:autoSpaceDE w:val="off"/>
      <w:autoSpaceDN w:val="off"/>
      <w:suppressAutoHyphens/>
      <w:outlineLvl w:val="0"/>
      <w:jc w:val="both"/>
      <w:suppressAutoHyphens/>
      <w:numPr>
        <w:ilvl w:val="0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2">
    <w:name w:val="개요 2"/>
    <w:pPr>
      <w:ind w:leftChars="-1" w:left="400" w:hangingChars="1" w:hanging="1"/>
      <w:autoSpaceDE w:val="off"/>
      <w:autoSpaceDN w:val="off"/>
      <w:suppressAutoHyphens/>
      <w:outlineLvl w:val="0"/>
      <w:jc w:val="both"/>
      <w:suppressAutoHyphens/>
      <w:numPr>
        <w:ilvl w:val="1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3">
    <w:name w:val="개요 3"/>
    <w:pPr>
      <w:ind w:leftChars="-1" w:left="600" w:hangingChars="1" w:hanging="1"/>
      <w:autoSpaceDE w:val="off"/>
      <w:autoSpaceDN w:val="off"/>
      <w:suppressAutoHyphens/>
      <w:outlineLvl w:val="0"/>
      <w:jc w:val="both"/>
      <w:suppressAutoHyphens/>
      <w:numPr>
        <w:ilvl w:val="2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4">
    <w:name w:val="개요 4"/>
    <w:pPr>
      <w:ind w:leftChars="-1" w:left="800" w:hangingChars="1" w:hanging="1"/>
      <w:autoSpaceDE w:val="off"/>
      <w:autoSpaceDN w:val="off"/>
      <w:suppressAutoHyphens/>
      <w:outlineLvl w:val="0"/>
      <w:jc w:val="both"/>
      <w:suppressAutoHyphens/>
      <w:numPr>
        <w:ilvl w:val="3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5">
    <w:name w:val="개요 5"/>
    <w:pPr>
      <w:ind w:leftChars="-1" w:left="1000" w:hangingChars="1" w:hanging="1"/>
      <w:autoSpaceDE w:val="off"/>
      <w:autoSpaceDN w:val="off"/>
      <w:suppressAutoHyphens/>
      <w:outlineLvl w:val="0"/>
      <w:jc w:val="both"/>
      <w:suppressAutoHyphens/>
      <w:numPr>
        <w:ilvl w:val="4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6">
    <w:name w:val="개요 6"/>
    <w:pPr>
      <w:ind w:leftChars="-1" w:left="1200" w:hangingChars="1" w:hanging="1"/>
      <w:autoSpaceDE w:val="off"/>
      <w:autoSpaceDN w:val="off"/>
      <w:suppressAutoHyphens/>
      <w:outlineLvl w:val="0"/>
      <w:jc w:val="both"/>
      <w:suppressAutoHyphens/>
      <w:numPr>
        <w:ilvl w:val="5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7">
    <w:name w:val="개요 7"/>
    <w:pPr>
      <w:ind w:leftChars="-1" w:left="1400" w:hangingChars="1" w:hanging="1"/>
      <w:autoSpaceDE w:val="off"/>
      <w:autoSpaceDN w:val="off"/>
      <w:suppressAutoHyphens/>
      <w:outlineLvl w:val="0"/>
      <w:jc w:val="both"/>
      <w:suppressAutoHyphens/>
      <w:numPr>
        <w:ilvl w:val="6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aa">
    <w:name w:val="쪽 번호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rFonts w:ascii="함초롬돋움" w:eastAsia="함초롬돋움" w:hAnsi="Arial Unicode MS" w:cs="함초롬돋움"/>
      <w:color w:val="000000"/>
      <w:position w:val="0"/>
    </w:rPr>
  </w:style>
  <w:style w:type="paragraph" w:customStyle="1" w:styleId="ab">
    <w:name w:val="머리말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돋움" w:eastAsia="함초롬돋움" w:hAnsi="Arial Unicode MS" w:cs="함초롬돋움"/>
      <w:color w:val="000000"/>
      <w:sz w:val="18"/>
      <w:szCs w:val="18"/>
      <w:position w:val="0"/>
    </w:rPr>
  </w:style>
  <w:style w:type="paragraph" w:customStyle="1" w:styleId="ac">
    <w:name w:val="각주"/>
    <w:pPr>
      <w:ind w:leftChars="-1" w:left="262" w:hangingChars="1" w:hanging="262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sz w:val="18"/>
      <w:szCs w:val="18"/>
      <w:position w:val="0"/>
    </w:rPr>
  </w:style>
  <w:style w:type="paragraph" w:customStyle="1" w:styleId="ad">
    <w:name w:val="미주"/>
    <w:pPr>
      <w:ind w:leftChars="-1" w:left="262" w:hangingChars="1" w:hanging="262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sz w:val="18"/>
      <w:szCs w:val="18"/>
      <w:position w:val="0"/>
    </w:rPr>
  </w:style>
  <w:style w:type="paragraph" w:customStyle="1" w:styleId="ae">
    <w:name w:val="메모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돋움" w:eastAsia="함초롬돋움" w:hAnsi="Arial Unicode MS" w:cs="함초롬돋움"/>
      <w:color w:val="000000"/>
      <w:sz w:val="18"/>
      <w:szCs w:val="18"/>
      <w:position w:val="0"/>
      <w:spacing w:val="-4"/>
    </w:rPr>
  </w:style>
  <w:style w:type="paragraph" w:customStyle="1" w:styleId="af">
    <w:name w:val="비즈폼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color w:val="000000"/>
      <w:sz w:val="18"/>
      <w:szCs w:val="18"/>
      <w:position w:val="0"/>
    </w:rPr>
  </w:style>
  <w:style w:type="paragraph" w:customStyle="1" w:styleId="MS">
    <w:name w:val="MS바탕글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after="100" w:line="1" w:lineRule="atLeast"/>
      <w:textAlignment w:val="top"/>
      <w:textDirection w:val="btLr"/>
    </w:pPr>
    <w:rPr>
      <w:lang w:val="en-US" w:eastAsia="en-US"/>
      <w:color w:val="000000"/>
      <w:position w:val="0"/>
    </w:rPr>
  </w:style>
  <w:style w:type="table" w:customStyle="1" w:styleId="af0">
    <w:basedOn w:val="TableNormal"/>
    <w:tblPr>
      <w:tblCellMar>
        <w:top w:w="28" w:type="dxa"/>
        <w:left w:w="28" w:type="dxa"/>
        <w:bottom w:w="28" w:type="dxa"/>
        <w:right w:w="28" w:type="dxa"/>
      </w:tblCellMar>
      <w:tblStyleColBandSize w:val="1"/>
      <w:tblStyleRowBandSize w:val="1"/>
    </w:tblPr>
  </w:style>
  <w:style w:type="paragraph" w:styleId="aff0">
    <w:name w:val="Subtitle"/>
    <w:uiPriority w:val="11"/>
    <w:basedOn w:val="a"/>
    <w:next w:val="a"/>
    <w:qFormat/>
    <w:pPr>
      <w:keepNext/>
      <w:keepLines/>
      <w:spacing w:after="80"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ff3">
    <w:name w:val="Normal (Web)"/>
    <w:uiPriority w:val="99"/>
    <w:basedOn w:val="a"/>
    <w:semiHidden/>
    <w:unhideWhenUsed/>
    <w:pPr>
      <w:ind w:firstLine="0"/>
      <w:widowControl/>
      <w:spacing w:after="100" w:afterAutospacing="1" w:before="100" w:beforeAutospacing="1"/>
    </w:pPr>
    <w:rPr>
      <w:lang w:val="en-US"/>
      <w:rFonts w:ascii="굴림" w:eastAsia="굴림" w:hAnsi="굴림" w:cs="굴림"/>
    </w:rPr>
  </w:style>
  <w:style w:type="character" w:customStyle="1" w:styleId="citation-389">
    <w:name w:val="citation-389"/>
    <w:basedOn w:val="a0"/>
  </w:style>
  <w:style w:type="character" w:customStyle="1" w:styleId="citation-388">
    <w:name w:val="citation-388"/>
    <w:basedOn w:val="a0"/>
  </w:style>
  <w:style w:type="character" w:customStyle="1" w:styleId="citation-387">
    <w:name w:val="citation-387"/>
    <w:basedOn w:val="a0"/>
  </w:style>
  <w:style w:type="character" w:customStyle="1" w:styleId="citation-386">
    <w:name w:val="citation-386"/>
    <w:basedOn w:val="a0"/>
  </w:style>
  <w:style w:type="character" w:customStyle="1" w:styleId="citation-385">
    <w:name w:val="citation-385"/>
    <w:basedOn w:val="a0"/>
  </w:style>
  <w:style w:type="character" w:customStyle="1" w:styleId="citation-384">
    <w:name w:val="citation-384"/>
    <w:basedOn w:val="a0"/>
  </w:style>
  <w:style w:type="character" w:customStyle="1" w:styleId="citation-383">
    <w:name w:val="citation-383"/>
    <w:basedOn w:val="a0"/>
  </w:style>
  <w:style w:type="character" w:customStyle="1" w:styleId="citation-382">
    <w:name w:val="citation-382"/>
    <w:basedOn w:val="a0"/>
  </w:style>
  <w:style w:type="character" w:customStyle="1" w:styleId="citation-381">
    <w:name w:val="citation-381"/>
    <w:basedOn w:val="a0"/>
  </w:style>
  <w:style w:type="character" w:customStyle="1" w:styleId="citation-380">
    <w:name w:val="citation-380"/>
    <w:basedOn w:val="a0"/>
  </w:style>
  <w:style w:type="character" w:customStyle="1" w:styleId="citation-379">
    <w:name w:val="citation-379"/>
    <w:basedOn w:val="a0"/>
  </w:style>
  <w:style w:type="character" w:customStyle="1" w:styleId="citation-378">
    <w:name w:val="citation-378"/>
    <w:basedOn w:val="a0"/>
  </w:style>
  <w:style w:type="character" w:customStyle="1" w:styleId="citation-377">
    <w:name w:val="citation-377"/>
    <w:basedOn w:val="a0"/>
  </w:style>
  <w:style w:type="character" w:customStyle="1" w:styleId="citation-376">
    <w:name w:val="citation-376"/>
    <w:basedOn w:val="a0"/>
  </w:style>
  <w:style w:type="character" w:customStyle="1" w:styleId="citation-375">
    <w:name w:val="citation-375"/>
    <w:basedOn w:val="a0"/>
  </w:style>
  <w:style w:type="character" w:customStyle="1" w:styleId="citation-374">
    <w:name w:val="citation-374"/>
    <w:basedOn w:val="a0"/>
  </w:style>
  <w:style w:type="character" w:customStyle="1" w:styleId="citation-373">
    <w:name w:val="citation-373"/>
    <w:basedOn w:val="a0"/>
  </w:style>
  <w:style w:type="character" w:customStyle="1" w:styleId="citation-372">
    <w:name w:val="citation-372"/>
    <w:basedOn w:val="a0"/>
  </w:style>
  <w:style w:type="character" w:customStyle="1" w:styleId="citation-371">
    <w:name w:val="citation-371"/>
    <w:basedOn w:val="a0"/>
  </w:style>
  <w:style w:type="character" w:customStyle="1" w:styleId="citation-370">
    <w:name w:val="citation-370"/>
    <w:basedOn w:val="a0"/>
  </w:style>
  <w:style w:type="character" w:customStyle="1" w:styleId="citation-369">
    <w:name w:val="citation-369"/>
    <w:basedOn w:val="a0"/>
  </w:style>
  <w:style w:type="character" w:customStyle="1" w:styleId="citation-368">
    <w:name w:val="citation-368"/>
    <w:basedOn w:val="a0"/>
  </w:style>
  <w:style w:type="character" w:customStyle="1" w:styleId="citation-367">
    <w:name w:val="citation-367"/>
    <w:basedOn w:val="a0"/>
  </w:style>
  <w:style w:type="character" w:customStyle="1" w:styleId="citation-366">
    <w:name w:val="citation-366"/>
    <w:basedOn w:val="a0"/>
  </w:style>
  <w:style w:type="character" w:customStyle="1" w:styleId="citation-365">
    <w:name w:val="citation-365"/>
    <w:basedOn w:val="a0"/>
  </w:style>
  <w:style w:type="character" w:customStyle="1" w:styleId="citation-364">
    <w:name w:val="citation-364"/>
    <w:basedOn w:val="a0"/>
  </w:style>
  <w:style w:type="character" w:customStyle="1" w:styleId="citation-363">
    <w:name w:val="citation-363"/>
    <w:basedOn w:val="a0"/>
  </w:style>
  <w:style w:type="character" w:customStyle="1" w:styleId="citation-362">
    <w:name w:val="citation-362"/>
    <w:basedOn w:val="a0"/>
  </w:style>
  <w:style w:type="character" w:customStyle="1" w:styleId="citation-361">
    <w:name w:val="citation-361"/>
    <w:basedOn w:val="a0"/>
  </w:style>
  <w:style w:type="character" w:customStyle="1" w:styleId="citation-360">
    <w:name w:val="citation-360"/>
    <w:basedOn w:val="a0"/>
  </w:style>
  <w:style w:type="character" w:customStyle="1" w:styleId="citation-359">
    <w:name w:val="citation-359"/>
    <w:basedOn w:val="a0"/>
  </w:style>
  <w:style w:type="character" w:customStyle="1" w:styleId="citation-358">
    <w:name w:val="citation-358"/>
    <w:basedOn w:val="a0"/>
  </w:style>
  <w:style w:type="character" w:customStyle="1" w:styleId="citation-357">
    <w:name w:val="citation-357"/>
    <w:basedOn w:val="a0"/>
  </w:style>
  <w:style w:type="character" w:customStyle="1" w:styleId="citation-356">
    <w:name w:val="citation-356"/>
    <w:basedOn w:val="a0"/>
  </w:style>
  <w:style w:type="character" w:customStyle="1" w:styleId="citation-355">
    <w:name w:val="citation-355"/>
    <w:basedOn w:val="a0"/>
  </w:style>
  <w:style w:type="character" w:customStyle="1" w:styleId="citation-354">
    <w:name w:val="citation-354"/>
    <w:basedOn w:val="a0"/>
  </w:style>
  <w:style w:type="character" w:customStyle="1" w:styleId="citation-353">
    <w:name w:val="citation-353"/>
    <w:basedOn w:val="a0"/>
  </w:style>
  <w:style w:type="character" w:customStyle="1" w:styleId="citation-352">
    <w:name w:val="citation-352"/>
    <w:basedOn w:val="a0"/>
  </w:style>
  <w:style w:type="character" w:customStyle="1" w:styleId="citation-351">
    <w:name w:val="citation-351"/>
    <w:basedOn w:val="a0"/>
  </w:style>
  <w:style w:type="character" w:customStyle="1" w:styleId="citation-350">
    <w:name w:val="citation-350"/>
    <w:basedOn w:val="a0"/>
  </w:style>
  <w:style w:type="character" w:customStyle="1" w:styleId="citation-349">
    <w:name w:val="citation-349"/>
    <w:basedOn w:val="a0"/>
  </w:style>
  <w:style w:type="character" w:customStyle="1" w:styleId="citation-348">
    <w:name w:val="citation-348"/>
    <w:basedOn w:val="a0"/>
  </w:style>
  <w:style w:type="character" w:customStyle="1" w:styleId="citation-347">
    <w:name w:val="citation-347"/>
    <w:basedOn w:val="a0"/>
  </w:style>
  <w:style w:type="character" w:customStyle="1" w:styleId="citation-346">
    <w:name w:val="citation-346"/>
    <w:basedOn w:val="a0"/>
  </w:style>
  <w:style w:type="character" w:customStyle="1" w:styleId="citation-345">
    <w:name w:val="citation-345"/>
    <w:basedOn w:val="a0"/>
  </w:style>
  <w:style w:type="character" w:customStyle="1" w:styleId="citation-344">
    <w:name w:val="citation-344"/>
    <w:basedOn w:val="a0"/>
  </w:style>
  <w:style w:type="character" w:customStyle="1" w:styleId="citation-343">
    <w:name w:val="citation-343"/>
    <w:basedOn w:val="a0"/>
  </w:style>
  <w:style w:type="character" w:customStyle="1" w:styleId="citation-342">
    <w:name w:val="citation-342"/>
    <w:basedOn w:val="a0"/>
  </w:style>
  <w:style w:type="character" w:customStyle="1" w:styleId="citation-341">
    <w:name w:val="citation-341"/>
    <w:basedOn w:val="a0"/>
  </w:style>
  <w:style w:type="character" w:customStyle="1" w:styleId="citation-340">
    <w:name w:val="citation-340"/>
    <w:basedOn w:val="a0"/>
  </w:style>
  <w:style w:type="character" w:customStyle="1" w:styleId="citation-339">
    <w:name w:val="citation-339"/>
    <w:basedOn w:val="a0"/>
  </w:style>
  <w:style w:type="character" w:customStyle="1" w:styleId="citation-338">
    <w:name w:val="citation-338"/>
    <w:basedOn w:val="a0"/>
  </w:style>
  <w:style w:type="character" w:customStyle="1" w:styleId="citation-337">
    <w:name w:val="citation-337"/>
    <w:basedOn w:val="a0"/>
  </w:style>
  <w:style w:type="character" w:customStyle="1" w:styleId="citation-336">
    <w:name w:val="citation-336"/>
    <w:basedOn w:val="a0"/>
  </w:style>
  <w:style w:type="character" w:customStyle="1" w:styleId="citation-335">
    <w:name w:val="citation-335"/>
    <w:basedOn w:val="a0"/>
  </w:style>
  <w:style w:type="character" w:customStyle="1" w:styleId="citation-334">
    <w:name w:val="citation-334"/>
    <w:basedOn w:val="a0"/>
  </w:style>
  <w:style w:type="character" w:customStyle="1" w:styleId="citation-333">
    <w:name w:val="citation-333"/>
    <w:basedOn w:val="a0"/>
  </w:style>
  <w:style w:type="character" w:customStyle="1" w:styleId="citation-332">
    <w:name w:val="citation-332"/>
    <w:basedOn w:val="a0"/>
  </w:style>
  <w:style w:type="character" w:customStyle="1" w:styleId="citation-331">
    <w:name w:val="citation-331"/>
    <w:basedOn w:val="a0"/>
  </w:style>
  <w:style w:type="character" w:customStyle="1" w:styleId="citation-330">
    <w:name w:val="citation-330"/>
    <w:basedOn w:val="a0"/>
  </w:style>
  <w:style w:type="character" w:customStyle="1" w:styleId="citation-329">
    <w:name w:val="citation-329"/>
    <w:basedOn w:val="a0"/>
  </w:style>
  <w:style w:type="character" w:customStyle="1" w:styleId="citation-328">
    <w:name w:val="citation-328"/>
    <w:basedOn w:val="a0"/>
  </w:style>
  <w:style w:type="character" w:customStyle="1" w:styleId="citation-327">
    <w:name w:val="citation-327"/>
    <w:basedOn w:val="a0"/>
  </w:style>
  <w:style w:type="character" w:customStyle="1" w:styleId="citation-326">
    <w:name w:val="citation-326"/>
    <w:basedOn w:val="a0"/>
  </w:style>
  <w:style w:type="character" w:customStyle="1" w:styleId="citation-325">
    <w:name w:val="citation-325"/>
    <w:basedOn w:val="a0"/>
  </w:style>
  <w:style w:type="character" w:customStyle="1" w:styleId="citation-324">
    <w:name w:val="citation-324"/>
    <w:basedOn w:val="a0"/>
  </w:style>
  <w:style w:type="character" w:customStyle="1" w:styleId="citation-323">
    <w:name w:val="citation-323"/>
    <w:basedOn w:val="a0"/>
  </w:style>
  <w:style w:type="character" w:customStyle="1" w:styleId="citation-322">
    <w:name w:val="citation-322"/>
    <w:basedOn w:val="a0"/>
  </w:style>
  <w:style w:type="character" w:customStyle="1" w:styleId="citation-321">
    <w:name w:val="citation-321"/>
    <w:basedOn w:val="a0"/>
  </w:style>
  <w:style w:type="character" w:customStyle="1" w:styleId="citation-320">
    <w:name w:val="citation-320"/>
    <w:basedOn w:val="a0"/>
  </w:style>
  <w:style w:type="character" w:customStyle="1" w:styleId="citation-319">
    <w:name w:val="citation-319"/>
    <w:basedOn w:val="a0"/>
  </w:style>
  <w:style w:type="character" w:customStyle="1" w:styleId="citation-318">
    <w:name w:val="citation-318"/>
    <w:basedOn w:val="a0"/>
  </w:style>
  <w:style w:type="character" w:customStyle="1" w:styleId="citation-317">
    <w:name w:val="citation-317"/>
    <w:basedOn w:val="a0"/>
  </w:style>
  <w:style w:type="character" w:customStyle="1" w:styleId="citation-316">
    <w:name w:val="citation-316"/>
    <w:basedOn w:val="a0"/>
  </w:style>
  <w:style w:type="character" w:customStyle="1" w:styleId="citation-315">
    <w:name w:val="citation-315"/>
    <w:basedOn w:val="a0"/>
  </w:style>
  <w:style w:type="character" w:customStyle="1" w:styleId="citation-314">
    <w:name w:val="citation-314"/>
    <w:basedOn w:val="a0"/>
  </w:style>
  <w:style w:type="character" w:customStyle="1" w:styleId="citation-313">
    <w:name w:val="citation-313"/>
    <w:basedOn w:val="a0"/>
  </w:style>
  <w:style w:type="character" w:customStyle="1" w:styleId="citation-312">
    <w:name w:val="citation-312"/>
    <w:basedOn w:val="a0"/>
  </w:style>
  <w:style w:type="character" w:customStyle="1" w:styleId="citation-311">
    <w:name w:val="citation-311"/>
    <w:basedOn w:val="a0"/>
  </w:style>
  <w:style w:type="character" w:customStyle="1" w:styleId="citation-310">
    <w:name w:val="citation-310"/>
    <w:basedOn w:val="a0"/>
  </w:style>
  <w:style w:type="character" w:customStyle="1" w:styleId="citation-309">
    <w:name w:val="citation-309"/>
    <w:basedOn w:val="a0"/>
  </w:style>
  <w:style w:type="character" w:customStyle="1" w:styleId="citation-308">
    <w:name w:val="citation-308"/>
    <w:basedOn w:val="a0"/>
  </w:style>
  <w:style w:type="character" w:customStyle="1" w:styleId="citation-307">
    <w:name w:val="citation-307"/>
    <w:basedOn w:val="a0"/>
  </w:style>
  <w:style w:type="character" w:customStyle="1" w:styleId="citation-306">
    <w:name w:val="citation-306"/>
    <w:basedOn w:val="a0"/>
  </w:style>
  <w:style w:type="character" w:customStyle="1" w:styleId="citation-305">
    <w:name w:val="citation-305"/>
    <w:basedOn w:val="a0"/>
  </w:style>
  <w:style w:type="character" w:customStyle="1" w:styleId="citation-304">
    <w:name w:val="citation-304"/>
    <w:basedOn w:val="a0"/>
  </w:style>
  <w:style w:type="character" w:customStyle="1" w:styleId="citation-303">
    <w:name w:val="citation-303"/>
    <w:basedOn w:val="a0"/>
  </w:style>
  <w:style w:type="character" w:customStyle="1" w:styleId="citation-302">
    <w:name w:val="citation-302"/>
    <w:basedOn w:val="a0"/>
  </w:style>
  <w:style w:type="character" w:customStyle="1" w:styleId="citation-301">
    <w:name w:val="citation-301"/>
    <w:basedOn w:val="a0"/>
  </w:style>
  <w:style w:type="character" w:customStyle="1" w:styleId="citation-300">
    <w:name w:val="citation-300"/>
    <w:basedOn w:val="a0"/>
  </w:style>
  <w:style w:type="character" w:customStyle="1" w:styleId="citation-299">
    <w:name w:val="citation-299"/>
    <w:basedOn w:val="a0"/>
  </w:style>
  <w:style w:type="character" w:customStyle="1" w:styleId="citation-298">
    <w:name w:val="citation-298"/>
    <w:basedOn w:val="a0"/>
  </w:style>
  <w:style w:type="character" w:customStyle="1" w:styleId="citation-297">
    <w:name w:val="citation-297"/>
    <w:basedOn w:val="a0"/>
  </w:style>
  <w:style w:type="character" w:customStyle="1" w:styleId="citation-296">
    <w:name w:val="citation-296"/>
    <w:basedOn w:val="a0"/>
  </w:style>
  <w:style w:type="character" w:customStyle="1" w:styleId="citation-295">
    <w:name w:val="citation-295"/>
    <w:basedOn w:val="a0"/>
  </w:style>
  <w:style w:type="character" w:customStyle="1" w:styleId="citation-294">
    <w:name w:val="citation-294"/>
    <w:basedOn w:val="a0"/>
  </w:style>
  <w:style w:type="paragraph" w:styleId="afe">
    <w:name w:val="List Paragraph"/>
    <w:uiPriority w:val="34"/>
    <w:basedOn w:val="a"/>
    <w:qFormat/>
    <w:pPr>
      <w:ind w:left="85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2026-03-11T01:24:00Z</dcterms:created>
  <dcterms:modified xsi:type="dcterms:W3CDTF">2026-03-12T04:49:57Z</dcterms:modified>
  <cp:version>1100.0100.01</cp:version>
</cp:coreProperties>
</file>