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12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[대외비]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a1a1a"/>
          <w:sz w:val="26"/>
          <w:szCs w:val="26"/>
          <w:rtl w:val="0"/>
        </w:rPr>
        <w:t xml:space="preserve">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온다로지스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6"/>
          <w:szCs w:val="26"/>
          <w:rtl w:val="0"/>
        </w:rPr>
        <w:t xml:space="preserve"> 수탁자 현황 자료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12" w:lineRule="auto"/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1. 수탁자 기본 현황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회사명: (주)온다 로지스 (ONDA Logistics Inc.)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대표자: 임희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설립일: 202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년 3월 10일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소재지: 서울시 중구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직원 수: 총 250명 (경영지원 20명, IT지원 10명, 지상조업/물류 현장직 150명, 배송기사 70명)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주요 사업: 항공 화물 지상 조업, 물류 센터 운영, 화물 라스트마일(Last-mile) 배송 대행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12" w:lineRule="auto"/>
        <w:ind w:left="800" w:right="0" w:firstLine="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2. 개인정보 위탁 업무 내역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위탁자: ㈜하랑항공 (위탁 담당부서: 항공화물운송팀)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위탁 업무: 하랑항공 항공화물 운송·배송 물류 위탁 운영 일체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WMS(물류 관리 시스템) 기반 출고, 피킹, 검수, 배차 및 최종 배송 확인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물류 터미널 내 현장 공용 PC 및 PDA(산업용 단말) 기반 화물 스캔 및 상태 조회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위탁사(하랑항공) B2B 연동(API 등) 기반 화물 접수 데이터 처리 및 결과 회신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수하물 분실, 파손, 지연에 따른 예외 보상 및 클레임 고객 대응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계약 기간: 2025년 2월 1일 ~ 2026년 2월 1일 (1년, 연간 자동 갱신 조항 포함)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개인정보 재위탁 현황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물량 폭주 및 지방 배송을 위해 지역 하역사 및 지입차주에게 하역/배송 업무 재위탁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12" w:lineRule="auto"/>
        <w:ind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3. 처리하는 개인정보 항목 및 규모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0"/>
        <w:numPr>
          <w:ilvl w:val="0"/>
          <w:numId w:val="13"/>
        </w:numPr>
        <w:spacing w:after="30" w:before="3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  <w:u w:val="no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데이터 접근 방식</w:t>
      </w:r>
    </w:p>
    <w:p w:rsidR="00000000" w:rsidDel="00000000" w:rsidP="00000000" w:rsidRDefault="00000000" w:rsidRPr="00000000" w14:paraId="00000018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(A) 위탁사 연동 API: 전용 VPN 터널링을 통해 하랑항공 B2B API와 연동하여 운송 수행에 필요한 필수 화물 정보 수신</w:t>
      </w:r>
    </w:p>
    <w:p w:rsidR="00000000" w:rsidDel="00000000" w:rsidP="00000000" w:rsidRDefault="00000000" w:rsidRPr="00000000" w14:paraId="00000019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(B) 수탁자 자체 시스템: 수신된 화물 정보를 바탕으로 온다로지스 자체 WMS(물류관리시스템) 서버 및 레거시 창고 물류 DB에 저장 및 처리</w:t>
      </w:r>
    </w:p>
    <w:p w:rsidR="00000000" w:rsidDel="00000000" w:rsidP="00000000" w:rsidRDefault="00000000" w:rsidRPr="00000000" w14:paraId="0000001A">
      <w:pPr>
        <w:keepLines w:val="0"/>
        <w:spacing w:after="30" w:before="30" w:line="240" w:lineRule="auto"/>
        <w:ind w:left="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   -     (A) 위탁사 연동 수신 항목 (접근·조회)</w:t>
      </w:r>
    </w:p>
    <w:p w:rsidR="00000000" w:rsidDel="00000000" w:rsidP="00000000" w:rsidRDefault="00000000" w:rsidRPr="00000000" w14:paraId="0000001B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수취인(화주) 성명, 연락처, 배송지 주소</w:t>
      </w:r>
    </w:p>
    <w:p w:rsidR="00000000" w:rsidDel="00000000" w:rsidP="00000000" w:rsidRDefault="00000000" w:rsidRPr="00000000" w14:paraId="0000001C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운송장 번호, 화물 및 수하물 예약 번호</w:t>
      </w:r>
    </w:p>
    <w:p w:rsidR="00000000" w:rsidDel="00000000" w:rsidP="00000000" w:rsidRDefault="00000000" w:rsidRPr="00000000" w14:paraId="0000001D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여권번호 및 계좌번호 (원칙적으로 고유식별정보는 미처리하나, 분실·파손 보상, 보험, 특수 화물 처리 등 예외 업무 발생 시 일시 수집)</w:t>
      </w:r>
    </w:p>
    <w:p w:rsidR="00000000" w:rsidDel="00000000" w:rsidP="00000000" w:rsidRDefault="00000000" w:rsidRPr="00000000" w14:paraId="0000001E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규모: 하랑항공 전체 연간 약 500만 건 정보주체 처리 대상 보유</w:t>
      </w:r>
    </w:p>
    <w:p w:rsidR="00000000" w:rsidDel="00000000" w:rsidP="00000000" w:rsidRDefault="00000000" w:rsidRPr="00000000" w14:paraId="0000001F">
      <w:pPr>
        <w:keepLines w:val="0"/>
        <w:spacing w:after="30" w:before="30" w:line="240" w:lineRule="auto"/>
        <w:ind w:left="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   -     (B) 수탁자 자체 DB 및 로컬 저장 항목</w:t>
      </w:r>
    </w:p>
    <w:p w:rsidR="00000000" w:rsidDel="00000000" w:rsidP="00000000" w:rsidRDefault="00000000" w:rsidRPr="00000000" w14:paraId="00000020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수취인 성명, 연락처, 주소, 운송장 번호 (배송 관리를 위해 WMS 저장)</w:t>
      </w:r>
    </w:p>
    <w:p w:rsidR="00000000" w:rsidDel="00000000" w:rsidP="00000000" w:rsidRDefault="00000000" w:rsidRPr="00000000" w14:paraId="00000021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규모: 배송 완료 후 5일 경과 데이터 자동 파기 배치 적용 중</w:t>
      </w:r>
    </w:p>
    <w:p w:rsidR="00000000" w:rsidDel="00000000" w:rsidP="00000000" w:rsidRDefault="00000000" w:rsidRPr="00000000" w14:paraId="00000022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※ 창고 물류 레거시 프로그램 DB 내 사용자 비밀번호가 해킹에 취약한 구형 암호화 알고리즘(MD5, SHA-1)으로 저장됨</w:t>
      </w:r>
    </w:p>
    <w:p w:rsidR="00000000" w:rsidDel="00000000" w:rsidP="00000000" w:rsidRDefault="00000000" w:rsidRPr="00000000" w14:paraId="00000023">
      <w:pPr>
        <w:keepLines w:val="0"/>
        <w:spacing w:after="30" w:before="3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※ 업무용 PC 로컬 바탕화면 및 부서 공용 NAS(공유폴더)에 수취인 정보가 담긴 수백 건의 엑셀 고객 명단이 문서 자체 암호화 없이 평문으로 방치됨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12" w:lineRule="auto"/>
        <w:ind w:left="800" w:right="0" w:firstLine="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4. 개인정보 처리 시스템 현황 (논리적 망분리 환경)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40" w:before="4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시스템 구성</w:t>
      </w:r>
    </w:p>
    <w:p w:rsidR="00000000" w:rsidDel="00000000" w:rsidP="00000000" w:rsidRDefault="00000000" w:rsidRPr="00000000" w14:paraId="00000027">
      <w:pPr>
        <w:spacing w:after="40" w:before="4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서버 환경: WMS 운영 서버, API 게이트웨이, 레거시 스캐닝 DB 서버 등은 본사 사내 서버실(On-premise)에서 운영 중</w:t>
      </w:r>
    </w:p>
    <w:p w:rsidR="00000000" w:rsidDel="00000000" w:rsidP="00000000" w:rsidRDefault="00000000" w:rsidRPr="00000000" w14:paraId="00000028">
      <w:pPr>
        <w:spacing w:after="40" w:before="4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0"/>
          <w:szCs w:val="20"/>
          <w:rtl w:val="0"/>
        </w:rPr>
        <w:t xml:space="preserve">-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현장 환경: 물류 인도장, 도크, 출고 데스크 등에 업무용 공용 PC와 현장 작업자용 다수의 공용 PDA 단말기 비치 및 운영</w:t>
      </w:r>
    </w:p>
    <w:p w:rsidR="00000000" w:rsidDel="00000000" w:rsidP="00000000" w:rsidRDefault="00000000" w:rsidRPr="00000000" w14:paraId="00000029">
      <w:pPr>
        <w:spacing w:after="40" w:before="4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단말기: 현장 공용 PDA에 단일 계정('admin/1234')을 포스트잇으로 붙여 공유하고 있으며, 화면 대기시간이 60분으로 과도하게 설정되어 보안에 취약함</w:t>
      </w:r>
    </w:p>
    <w:p w:rsidR="00000000" w:rsidDel="00000000" w:rsidP="00000000" w:rsidRDefault="00000000" w:rsidRPr="00000000" w14:paraId="0000002A">
      <w:pPr>
        <w:spacing w:after="40" w:before="4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네트워크 (논리적 망분리)</w:t>
      </w:r>
    </w:p>
    <w:p w:rsidR="00000000" w:rsidDel="00000000" w:rsidP="00000000" w:rsidRDefault="00000000" w:rsidRPr="00000000" w14:paraId="0000002B">
      <w:pPr>
        <w:spacing w:after="40" w:before="4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VLAN 기반의 논리적 망분리 형태로 내부 업무망과 외부 인터넷망을 분리하여 운영 중</w:t>
      </w:r>
    </w:p>
    <w:p w:rsidR="00000000" w:rsidDel="00000000" w:rsidP="00000000" w:rsidRDefault="00000000" w:rsidRPr="00000000" w14:paraId="0000002C">
      <w:pPr>
        <w:spacing w:after="40" w:before="4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망분리 우회: 현장 관리자 단말기 등에서 가상화(VDI) 우회 등을 통해 인터넷망과 내부 업무망(WMS)에 동시 접속 가능한 구조적 결함이 있으며, 망 간 클립보드 복사 차단이 해제되어 있음</w:t>
      </w:r>
    </w:p>
    <w:p w:rsidR="00000000" w:rsidDel="00000000" w:rsidP="00000000" w:rsidRDefault="00000000" w:rsidRPr="00000000" w14:paraId="0000002D">
      <w:pPr>
        <w:spacing w:after="40" w:before="4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유출 통제: 현장 업무 편의를 명목으로 방화벽 정책에서 개인 웹하드 및 개인 이메일 접속을 일괄 예외 허용하여, 망분리 취약점과 연계된 외부 파일 유출 경로가 활짝 개방되어 있음</w:t>
      </w:r>
    </w:p>
    <w:p w:rsidR="00000000" w:rsidDel="00000000" w:rsidP="00000000" w:rsidRDefault="00000000" w:rsidRPr="00000000" w14:paraId="0000002E">
      <w:pPr>
        <w:spacing w:after="40" w:before="4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무선망: 업무용 PDA 연결을 위한 무선 AP망은 WPA3 암호화가 적용되어 양호하나, 비인가 불법 테더링 접속을 차단할 무선침입방지시스템(WIPS)이 부재함</w:t>
      </w:r>
    </w:p>
    <w:p w:rsidR="00000000" w:rsidDel="00000000" w:rsidP="00000000" w:rsidRDefault="00000000" w:rsidRPr="00000000" w14:paraId="0000002F">
      <w:pPr>
        <w:spacing w:after="40" w:before="40" w:line="240" w:lineRule="auto"/>
        <w:ind w:left="72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280" w:line="240" w:lineRule="auto"/>
        <w:ind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280" w:line="240" w:lineRule="auto"/>
        <w:ind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5. (자체 점검) 보안 관리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80" w:line="240" w:lineRule="auto"/>
        <w:ind w:left="59" w:firstLine="0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5.1 내부 관리 계획 및 조직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내부관리계획서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존재,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재위탁 통제, 현장 단말기 물리적 안전조치가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부재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1년간 정기 검토 및 최고경영책임자 승인 이력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이 없음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정책문서는 그룹웨어로 공지되고 있으나 현장 작업자 대상 오프라인 공표물과 체계적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미전파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침해사고 대응절차와 위탁사 통보 체계는 있으나, 비상연락망 일부 현행화 미흡과 현장 초동조치 체크리스트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백업 및 복구 계획은 존재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무선 AP 장애, PDA 파손 등 물류 현장 중심의 업무연속성 대체 절차와 현장 연계 훈련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부재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CPO 지정, 역할 문서화, 전담조직 구성 운영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개인정보취급자 명단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관리 진행,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재위탁 인력 명단 최신화가 지연되어 실제 투입 인력과 관리대장 간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내용 불일치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내·외부 인력 보안서약서는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징구·보관되고 있음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정기 교육, 신규자 교육, 재위탁 인력 교육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에 대한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증적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부재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0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5.2  접근 통제 및 권한 관리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개인별 계정 원칙은 운영되나 현장 공용 PC와 일부 보조 조회용 계정 사용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권한이 직무별로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구분 미흡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계정 발급은 그룹웨어 전자결재를 통해 승인 후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내근직은 퇴사 당일 권한이 회수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됨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현장 인력은 행정 지연으로 퇴사 후에도 계정이 일정 기간 활성 상태로 남는 사례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존재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권한 변경 이력은 남고 있으나 일부 로그 보존기간이 법정 기준에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미달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현장 PDA에서 공용 계정과 단순 비밀번호가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사무용 단말은 세션 타임아웃이 적절하나 현장 PDA는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세션 대기 시간이 60분 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일부 레거시 시스템은 로그인 실패 제한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미적용</w:t>
      </w:r>
    </w:p>
    <w:p w:rsidR="00000000" w:rsidDel="00000000" w:rsidP="00000000" w:rsidRDefault="00000000" w:rsidRPr="00000000" w14:paraId="00000045">
      <w:pPr>
        <w:spacing w:line="240" w:lineRule="auto"/>
        <w:ind w:left="0" w:firstLine="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5.3  접속기록 보관 및 점검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접속 로그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자동 생성 기능 비활성화 및 로그 기록 항목 부재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정기 점검은 형식적 수동 보고 수준, 이상행위 탐지 기준과 자동 알림 체계가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일부 모바일·PDA 구간 로그 보존기간이 법정 기준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에 미달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로그 위·변조 방지와 격리 백업 체계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구축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5.4 비밀번호 관리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비밀번호 복잡도, 재사용 금지 등 정책 규정 부재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AD 서버 및 WMS 시스템 내비밀번호 생성 단계에서 비밀번호 복잡도 필터링 부재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비밀번호 갱신 이력 부재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사무용 PC가 화면 자동 잠금이 강제로 적용되며, 잠금 해제 시 패스워드 입력 요구 프롬프트 활성화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현장 기기 관리 정책에서 단말 자동 잠금 기능은 활성화되어 있으나, 현장 작업자가 업무 상 편의 사유로 잠금화면 대기 시간을 1시간으로 설정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ind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5.5 접속 보안 및 네트워크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line="240" w:lineRule="auto"/>
        <w:ind w:left="720" w:hanging="36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내부망 내 개인정보처리시스템 외부 접근 시 방화벽 차단/허용 정책 존재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재택 근무로 접속 시 안전한 접속 수단 의무화 정책 존재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외부 접속 시 추가 인증 적용 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침입방지시스템 운영 현황 및 시그니처 정기 업데이트 점검 진행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논리적 망분리 아키텍처는 미구축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무선랜 신청/승인 이력관리대장 작성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동일 단말기에서 내/외부망 동시 접속 차단 부재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중요단말기 식별 및 비업무/유행사이트 접근 차단 솔루션 정책적 차단 부재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작업자가 임의로 화면 캡처 툴, 압축 프로그램 등 비인가 SW를 다수 설치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5.6 단말기 보안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고객용 웹페이지를 통해 여권번호 등을 수집 중이나, 법정 필수 의무인 연 1회 정기 취약점 점검(모의해킹) 및 개선 증빙이 부재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핵심 서버 전체에 백신 설치 및 실시간 감시가 활성화되어 있으며, 업데이트 실패 시 관리자 알람 등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중앙 관리 체계가 정상 가동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직접 검증 결과 최신 보안 패치가 누락 없이 적용되어 있으며,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EOS(기술지원 종료) 소프트웨어 없이 주기적인 모니터링과 업데이트를 이행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PC 기본 공유 폴더 개방, NAS 내 익명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접근 허용, 개인정보 파일 암호 미설정 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전사 PC 보안 솔루션 설치 및 실시간 감시가 강제화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WSUS 및 PMS를 통해 OS와 서드파티 응용프로그램 패치를 중앙에서 자동 배포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DLP를 통한 USB 쓰기 원천 차단, 사전 승인 절차 운</w:t>
      </w: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영, 데이터 반출 로깅 및 물리적 자산 반출입 통제</w:t>
      </w:r>
    </w:p>
    <w:p w:rsidR="00000000" w:rsidDel="00000000" w:rsidP="00000000" w:rsidRDefault="00000000" w:rsidRPr="00000000" w14:paraId="00000065">
      <w:pPr>
        <w:spacing w:line="240" w:lineRule="auto"/>
        <w:ind w:left="0" w:firstLine="0"/>
        <w:rPr>
          <w:rFonts w:ascii="Malgun Gothic" w:cs="Malgun Gothic" w:eastAsia="Malgun Gothic" w:hAnsi="Malgun Gothic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5.7 개인정보 암호화 및 출력 통제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 WMS 본 서버에 비밀번호 평문 저장 및 레거시 시스템의 취약 알고리즘(MD5, SHA-1) 사용, 솔트(Salt) 적용 부재와 공용 계정('admin/1234') 사용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DB 원장 저장 시 AES-256 알고리즘 적용은 적정하나, 시스템 진입 과정(WAS 에러 로그, DMZ 임시 폴더)에서 일시적으로 평문이 잔류하는 구간이 존재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외부 전송 시 파일 암호화 지침과 강제 통제 솔루션 부재로 대량의 배송 명단을 평문으로 이메일이나 메신저로 전송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전사 마스킹 표준 기준을 수립하고, WMS 화면 및 PDA 앱에서 성명, 연락처, 주소 등에 대한 마스킹 로직이 일관되게 적용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'키 관리 대장'이 전무함. 키 교체(Rotation) 주기나 파기 절차 등 생명주기 관리 정책이 미수립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업무 PC 내 수백 건의 개인정보 파일이 평문으로 방치. DRM(문서보안) 등 자동 암호화 솔루션이 부재하고, 인터넷을 통한 외부 반출 경로가 개방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출력물 관리대장 미작성, 복합기 인증(사원증 태깅) 기능 미사용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대량의 지시서 반출 시 사전 승인 절차 부재</w:t>
      </w:r>
    </w:p>
    <w:p w:rsidR="00000000" w:rsidDel="00000000" w:rsidP="00000000" w:rsidRDefault="00000000" w:rsidRPr="00000000" w14:paraId="0000006F">
      <w:pPr>
        <w:spacing w:line="240" w:lineRule="auto"/>
        <w:ind w:firstLine="0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ind w:firstLine="0"/>
        <w:rPr>
          <w:rFonts w:ascii="Malgun Gothic" w:cs="Malgun Gothic" w:eastAsia="Malgun Gothic" w:hAnsi="Malgun Gothic"/>
          <w:b w:val="1"/>
          <w:bCs w:val="1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5.8 개인정보 생명주기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API 연동 시 필수 정보만 수집하는 원칙은 수립되어 있으나, 콜센터 상담원이 예외 처리 과정에서 고객의 계좌번호나 추가 연락처를 사전 협의 없이 임의 수집하는 사례가 적발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DB 아키텍처상 논리적 격리(스키마 분리)는 양호하나, 담당자 PC 내에서는 타 위탁사 데이터와 하랑항공 데이터가 동일 폴더에 혼재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위탁사(하랑항공)의 사전 서면 승인 없이 구두로 재위탁을 진행하는 프로세스 위반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업무 편의를 위해 타 택배사 등에 개인정보를 임의 제공하는 관행이 있으나, 법정 필수 문서인 '제3자 제공 관리대장' 양식조차 비치되지 않음. 책임자 승인 및 사후 모니터링 체계가 전면 부재</w:t>
      </w:r>
      <w:r w:rsidDel="00000000" w:rsidR="00000000" w:rsidRPr="00000000"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파기 지침은 존재하나 현장 PC에 수개월 치 배송 명단 엑셀 파일이 대량 방치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작업장 쓰기통에서 파쇄되지 않은 배송 지시서 원본이 다수 발견</w:t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수기 동의서 등 하드카피 서류가 일반 서류와 혼재 보관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기본적인 시스템 삭제는 수행 중이나, 와이핑 결과나 파쇄 사진 등 객관적 파기 증빙 자료 생성이 누락, 이에 따라 위탁사(하랑항공)에 정기적으로 파기 결과를 보고해야 하는 의무 이행 기록이 부재</w:t>
      </w:r>
    </w:p>
    <w:p w:rsidR="00000000" w:rsidDel="00000000" w:rsidP="00000000" w:rsidRDefault="00000000" w:rsidRPr="00000000" w14:paraId="00000079">
      <w:pPr>
        <w:spacing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80" w:before="280" w:line="240" w:lineRule="auto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4"/>
          <w:szCs w:val="24"/>
          <w:rtl w:val="0"/>
        </w:rPr>
        <w:t xml:space="preserve">6. 개인정보 재위탁 현황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40" w:before="4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  (주)한결하역: 하역 및 배송 업무</w:t>
      </w:r>
    </w:p>
    <w:p w:rsidR="00000000" w:rsidDel="00000000" w:rsidP="00000000" w:rsidRDefault="00000000" w:rsidRPr="00000000" w14:paraId="0000007D">
      <w:pPr>
        <w:widowControl w:val="0"/>
        <w:spacing w:after="40" w:before="4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  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1"/>
          <w:szCs w:val="21"/>
          <w:rtl w:val="0"/>
        </w:rPr>
        <w:t xml:space="preserve">원위탁자(하랑항공)의 사전 서면 승인 없이 구두로 재위탁을 진행하여 위탁 계약 프로세스 및 절차 위반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40" w:before="4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bookmarkStart w:colFirst="0" w:colLast="0" w:name="_heading=h.hwvg60m5ebvw" w:id="0"/>
      <w:bookmarkEnd w:id="0"/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  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1"/>
          <w:szCs w:val="21"/>
          <w:rtl w:val="0"/>
        </w:rPr>
        <w:t xml:space="preserve">야간 하역 등을 담당하는 하청업체 직원 대상 개인정보보호 교육이 전무하며, 교육 참석 대장 등의 관리 감독 증적 부재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40" w:before="4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  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1"/>
          <w:szCs w:val="21"/>
          <w:rtl w:val="0"/>
        </w:rPr>
        <w:t xml:space="preserve">잦은 인력 변동으로 인해 재위탁 인력 명단 업데이트가 평균 1~2주 지연되는 등 취급자 명단 현행화 미흡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40" w:before="40" w:line="240" w:lineRule="auto"/>
        <w:ind w:left="720" w:hanging="360"/>
        <w:rPr>
          <w:rFonts w:ascii="Malgun Gothic" w:cs="Malgun Gothic" w:eastAsia="Malgun Gothic" w:hAnsi="Malgun Gothic"/>
          <w:color w:val="1f1f1f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0"/>
          <w:szCs w:val="20"/>
          <w:rtl w:val="0"/>
        </w:rPr>
        <w:t xml:space="preserve">-   </w:t>
      </w:r>
      <w:r w:rsidDel="00000000" w:rsidR="00000000" w:rsidRPr="00000000">
        <w:rPr>
          <w:rFonts w:ascii="Malgun Gothic" w:cs="Malgun Gothic" w:eastAsia="Malgun Gothic" w:hAnsi="Malgun Gothic"/>
          <w:color w:val="1f1f1f"/>
          <w:sz w:val="21"/>
          <w:szCs w:val="21"/>
          <w:rtl w:val="0"/>
        </w:rPr>
        <w:t xml:space="preserve">인도장 창고 내 하청업체별 물리적 펜스 분리가 되어 있지 않아, 타 업체 직원이 화물 지시서 및 고객 정보에 무단 접근할 수 있는 통제 공백 존재</w:t>
      </w:r>
    </w:p>
    <w:p w:rsidR="00000000" w:rsidDel="00000000" w:rsidP="00000000" w:rsidRDefault="00000000" w:rsidRPr="00000000" w14:paraId="00000081">
      <w:pPr>
        <w:widowControl w:val="0"/>
        <w:spacing w:after="40" w:before="40" w:line="240" w:lineRule="auto"/>
        <w:ind w:left="720" w:hanging="360"/>
        <w:rPr>
          <w:rFonts w:ascii="Malgun Gothic" w:cs="Malgun Gothic" w:eastAsia="Malgun Gothic" w:hAnsi="Malgun Gothic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color w:val="1f1f1f"/>
          <w:sz w:val="21"/>
          <w:szCs w:val="21"/>
          <w:rtl w:val="0"/>
        </w:rPr>
        <w:t xml:space="preserve">-   재위탁 인력에 의한 하드카피 서류(배송 지시서 등) 파기 시, 파쇄기를 거치지 않고 무단 투기하는 등 현장 파기 통제 미흡 및 파기 관리대장 작성 누락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algun Gothic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76092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75e"/>
      <w:sz w:val="52"/>
      <w:szCs w:val="52"/>
    </w:rPr>
  </w:style>
  <w:style w:type="paragraph" w:styleId="Header" w:customStyle="1">
    <w:name w:val="header"/>
    <w:basedOn w:val="Normal"/>
    <w:link w:val="Head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Footer" w:customStyle="1">
    <w:name w:val="footer"/>
    <w:basedOn w:val="Normal"/>
    <w:link w:val="FooterChar"/>
    <w:uiPriority w:val="99"/>
    <w:unhideWhenUsed w:val="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3f3f3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 w:val="1"/>
      <w:bCs w:val="1"/>
      <w:color w:val="376092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 w:val="1"/>
      <w:bCs w:val="1"/>
      <w:color w:val="4f81bd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17375e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BodyText" w:customStyle="1">
    <w:name w:val="Body Text"/>
    <w:basedOn w:val="Normal"/>
    <w:link w:val="BodyTextChar"/>
    <w:uiPriority w:val="99"/>
    <w:unhideWhenUsed w:val="1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</w:style>
  <w:style w:type="paragraph" w:styleId="BodyText2" w:customStyle="1">
    <w:name w:val="Body Text 2"/>
    <w:basedOn w:val="Normal"/>
    <w:link w:val="BodyText2Char"/>
    <w:uiPriority w:val="99"/>
    <w:unhideWhenUsed w:val="1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</w:style>
  <w:style w:type="paragraph" w:styleId="BodyText3" w:customStyle="1">
    <w:name w:val="Body Text 3"/>
    <w:basedOn w:val="Normal"/>
    <w:link w:val="BodyText3Char"/>
    <w:uiPriority w:val="99"/>
    <w:unhideWhenUsed w:val="1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 w:customStyle="1">
    <w:name w:val="List"/>
    <w:basedOn w:val="Normal"/>
    <w:uiPriority w:val="99"/>
    <w:unhideWhenUsed w:val="1"/>
    <w:pPr>
      <w:ind w:left="360" w:hanging="360"/>
      <w:contextualSpacing w:val="1"/>
    </w:pPr>
  </w:style>
  <w:style w:type="paragraph" w:styleId="List2" w:customStyle="1">
    <w:name w:val="List 2"/>
    <w:basedOn w:val="Normal"/>
    <w:uiPriority w:val="99"/>
    <w:unhideWhenUsed w:val="1"/>
    <w:pPr>
      <w:ind w:left="720" w:hanging="360"/>
      <w:contextualSpacing w:val="1"/>
    </w:pPr>
  </w:style>
  <w:style w:type="paragraph" w:styleId="List3" w:customStyle="1">
    <w:name w:val="List 3"/>
    <w:basedOn w:val="Normal"/>
    <w:uiPriority w:val="99"/>
    <w:unhideWhenUsed w:val="1"/>
    <w:pPr>
      <w:ind w:left="1080" w:hanging="360"/>
      <w:contextualSpacing w:val="1"/>
    </w:pPr>
  </w:style>
  <w:style w:type="paragraph" w:styleId="ListBullet" w:customStyle="1">
    <w:name w:val="List Bullet"/>
    <w:basedOn w:val="Normal"/>
    <w:uiPriority w:val="99"/>
    <w:unhideWhenUsed w:val="1"/>
    <w:pPr>
      <w:numPr>
        <w:ilvl w:val="0"/>
        <w:numId w:val="13"/>
      </w:numPr>
      <w:contextualSpacing w:val="1"/>
    </w:pPr>
  </w:style>
  <w:style w:type="paragraph" w:styleId="ListBullet2" w:customStyle="1">
    <w:name w:val="List Bullet 2"/>
    <w:basedOn w:val="Normal"/>
    <w:uiPriority w:val="99"/>
    <w:unhideWhenUsed w:val="1"/>
    <w:pPr>
      <w:numPr>
        <w:ilvl w:val="0"/>
        <w:numId w:val="14"/>
      </w:numPr>
      <w:contextualSpacing w:val="1"/>
    </w:pPr>
  </w:style>
  <w:style w:type="paragraph" w:styleId="ListBullet3" w:customStyle="1">
    <w:name w:val="List Bullet 3"/>
    <w:basedOn w:val="Normal"/>
    <w:uiPriority w:val="99"/>
    <w:unhideWhenUsed w:val="1"/>
    <w:pPr>
      <w:numPr>
        <w:ilvl w:val="0"/>
        <w:numId w:val="15"/>
      </w:numPr>
      <w:contextualSpacing w:val="1"/>
    </w:pPr>
  </w:style>
  <w:style w:type="paragraph" w:styleId="ListNumber" w:customStyle="1">
    <w:name w:val="List Number"/>
    <w:basedOn w:val="Normal"/>
    <w:uiPriority w:val="99"/>
    <w:unhideWhenUsed w:val="1"/>
    <w:pPr>
      <w:numPr>
        <w:ilvl w:val="0"/>
        <w:numId w:val="16"/>
      </w:numPr>
      <w:contextualSpacing w:val="1"/>
    </w:pPr>
  </w:style>
  <w:style w:type="paragraph" w:styleId="ListNumber2" w:customStyle="1">
    <w:name w:val="List Number 2"/>
    <w:basedOn w:val="Normal"/>
    <w:uiPriority w:val="99"/>
    <w:unhideWhenUsed w:val="1"/>
    <w:pPr>
      <w:numPr>
        <w:ilvl w:val="0"/>
        <w:numId w:val="17"/>
      </w:numPr>
      <w:contextualSpacing w:val="1"/>
    </w:pPr>
  </w:style>
  <w:style w:type="paragraph" w:styleId="ListNumber3" w:customStyle="1">
    <w:name w:val="List Number 3"/>
    <w:basedOn w:val="Normal"/>
    <w:uiPriority w:val="99"/>
    <w:unhideWhenUsed w:val="1"/>
    <w:pPr>
      <w:numPr>
        <w:ilvl w:val="0"/>
        <w:numId w:val="18"/>
      </w:numPr>
      <w:contextualSpacing w:val="1"/>
    </w:pPr>
  </w:style>
  <w:style w:type="paragraph" w:styleId="ListContinue" w:customStyle="1">
    <w:name w:val="List Continue"/>
    <w:basedOn w:val="Normal"/>
    <w:uiPriority w:val="99"/>
    <w:unhideWhenUsed w:val="1"/>
    <w:pPr>
      <w:spacing w:after="120"/>
      <w:ind w:left="360"/>
      <w:contextualSpacing w:val="1"/>
    </w:pPr>
  </w:style>
  <w:style w:type="paragraph" w:styleId="ListContinue2" w:customStyle="1">
    <w:name w:val="List Continue 2"/>
    <w:basedOn w:val="Normal"/>
    <w:uiPriority w:val="99"/>
    <w:unhideWhenUsed w:val="1"/>
    <w:pPr>
      <w:spacing w:after="120"/>
      <w:ind w:left="720"/>
      <w:contextualSpacing w:val="1"/>
    </w:pPr>
  </w:style>
  <w:style w:type="paragraph" w:styleId="ListContinue3" w:customStyle="1">
    <w:name w:val="List Continue 3"/>
    <w:basedOn w:val="Normal"/>
    <w:uiPriority w:val="99"/>
    <w:unhideWhenUsed w:val="1"/>
    <w:pPr>
      <w:spacing w:after="120"/>
      <w:ind w:left="1080"/>
      <w:contextualSpacing w:val="1"/>
    </w:pPr>
  </w:style>
  <w:style w:type="paragraph" w:styleId="MacroText" w:customStyle="1">
    <w:name w:val="macro"/>
    <w:link w:val="MacroTextChar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Pr>
      <w:i w:val="1"/>
      <w:iCs w:val="1"/>
      <w:color w:val="000000"/>
    </w:rPr>
  </w:style>
  <w:style w:type="character" w:styleId="QuoteChar" w:customStyle="1">
    <w:name w:val="Quote Char"/>
    <w:basedOn w:val="DefaultParagraphFont"/>
    <w:link w:val="Quote"/>
    <w:uiPriority w:val="29"/>
    <w:rPr>
      <w:i w:val="1"/>
      <w:iCs w:val="1"/>
      <w:color w:val="00000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Pr>
      <w:rFonts w:asciiTheme="majorHAnsi" w:cstheme="majorBidi" w:eastAsiaTheme="majorEastAsia" w:hAnsiTheme="majorHAnsi"/>
      <w:color w:val="244061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Pr>
      <w:rFonts w:asciiTheme="majorHAnsi" w:cstheme="majorBidi" w:eastAsiaTheme="majorEastAsia" w:hAnsiTheme="majorHAnsi"/>
      <w:i w:val="1"/>
      <w:iCs w:val="1"/>
      <w:color w:val="244061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Pr>
      <w:rFonts w:asciiTheme="majorHAnsi" w:cstheme="majorBidi" w:eastAsiaTheme="majorEastAsia" w:hAnsiTheme="majorHAnsi"/>
      <w:i w:val="1"/>
      <w:iCs w:val="1"/>
      <w:color w:val="3f3f3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Pr>
      <w:rFonts w:asciiTheme="majorHAnsi" w:cstheme="majorBidi" w:eastAsiaTheme="majorEastAsia" w:hAnsiTheme="majorHAnsi"/>
      <w:color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Pr>
      <w:rFonts w:asciiTheme="majorHAnsi" w:cstheme="majorBidi" w:eastAsiaTheme="majorEastAsia" w:hAnsiTheme="majorHAnsi"/>
      <w:i w:val="1"/>
      <w:iCs w:val="1"/>
      <w:color w:val="3f3f3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 w:val="1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b w:val="1"/>
      <w:bCs w:val="1"/>
      <w:i w:val="1"/>
      <w:iCs w:val="1"/>
      <w:color w:val="4f81bd"/>
    </w:rPr>
  </w:style>
  <w:style w:type="character" w:styleId="SubtleEmphasis">
    <w:name w:val="Subtle Emphasis"/>
    <w:basedOn w:val="DefaultParagraphFont"/>
    <w:uiPriority w:val="19"/>
    <w:qFormat w:val="1"/>
    <w:rPr>
      <w:i w:val="1"/>
      <w:iCs w:val="1"/>
      <w:color w:val="7f7f7f"/>
    </w:rPr>
  </w:style>
  <w:style w:type="character" w:styleId="IntenseEmphasis">
    <w:name w:val="Intense Emphasis"/>
    <w:basedOn w:val="DefaultParagraphFont"/>
    <w:uiPriority w:val="21"/>
    <w:qFormat w:val="1"/>
    <w:rPr>
      <w:b w:val="1"/>
      <w:bCs w:val="1"/>
      <w:i w:val="1"/>
      <w:iCs w:val="1"/>
      <w:color w:val="4f81bd"/>
    </w:rPr>
  </w:style>
  <w:style w:type="character" w:styleId="SubtleReference">
    <w:name w:val="Subtle Reference"/>
    <w:basedOn w:val="DefaultParagraphFont"/>
    <w:uiPriority w:val="31"/>
    <w:qFormat w:val="1"/>
    <w:rPr>
      <w:smallCaps w:val="1"/>
      <w:color w:val="c0504d"/>
      <w:u w:color="auto" w:val="single"/>
    </w:rPr>
  </w:style>
  <w:style w:type="character" w:styleId="IntenseReference">
    <w:name w:val="Intense Reference"/>
    <w:basedOn w:val="DefaultParagraphFont"/>
    <w:uiPriority w:val="32"/>
    <w:qFormat w:val="1"/>
    <w:rPr>
      <w:b w:val="1"/>
      <w:bCs w:val="1"/>
      <w:smallCaps w:val="1"/>
      <w:color w:val="c0504d"/>
      <w:spacing w:val="5"/>
      <w:u w:color="auto" w:val="single"/>
    </w:rPr>
  </w:style>
  <w:style w:type="character" w:styleId="BookTitle">
    <w:name w:val="Book Title"/>
    <w:basedOn w:val="DefaultParagraphFont"/>
    <w:uiPriority w:val="33"/>
    <w:qFormat w:val="1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000000" w:space="0" w:sz="8" w:val="single"/>
        <w:bottom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Tint="00003F" w:val="clear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bfbfbf" w:themeFillTint="00003F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bfbfbf" w:themeFillTint="00003F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3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0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5d1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.0" w:type="dxa"/>
      <w:tblBorders>
        <w:top w:color="3f3f3f" w:space="0" w:sz="8" w:themeTint="0000BF" w:val="single"/>
        <w:left w:color="3f3f3f" w:space="0" w:sz="8" w:themeTint="0000BF" w:val="single"/>
        <w:bottom w:color="3f3f3f" w:space="0" w:sz="8" w:themeTint="0000BF" w:val="single"/>
        <w:right w:color="3f3f3f" w:space="0" w:sz="8" w:themeTint="0000BF" w:val="single"/>
        <w:insideH w:color="3f3f3f" w:space="0" w:sz="8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3f3f3f" w:space="0" w:sz="8" w:themeTint="0000BF" w:val="single"/>
          <w:left w:color="3f3f3f" w:space="0" w:sz="8" w:themeTint="0000BF" w:val="single"/>
          <w:bottom w:color="3f3f3f" w:space="0" w:sz="8" w:themeTint="0000BF" w:val="single"/>
          <w:right w:color="3f3f3f" w:space="0" w:sz="8" w:themeTint="0000BF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3f3f3f" w:space="0" w:sz="6" w:themeTint="0000BF" w:val="double"/>
          <w:left w:color="3f3f3f" w:space="0" w:sz="8" w:themeTint="0000BF" w:val="single"/>
          <w:bottom w:color="3f3f3f" w:space="0" w:sz="8" w:themeTint="0000BF" w:val="single"/>
          <w:right w:color="3f3f3f" w:space="0" w:sz="8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fbf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bfbfbf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.0" w:type="dxa"/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Shade="0000D8" w:val="clear"/>
      </w:tcPr>
    </w:tblStylePr>
    <w:tblStylePr w:type="band1Horz">
      <w:tblPr/>
      <w:tcPr>
        <w:shd w:color="auto" w:fill="d8d8d8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Shade="0000D8" w:val="clear"/>
      </w:tcPr>
    </w:tblStylePr>
    <w:tblStylePr w:type="band1Horz">
      <w:tblPr/>
      <w:tcPr>
        <w:shd w:color="auto" w:fill="d8d8d8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Shade="0000D8" w:val="clear"/>
      </w:tcPr>
    </w:tblStylePr>
    <w:tblStylePr w:type="band1Horz">
      <w:tblPr/>
      <w:tcPr>
        <w:shd w:color="auto" w:fill="d8d8d8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Shade="0000D8" w:val="clear"/>
      </w:tcPr>
    </w:tblStylePr>
    <w:tblStylePr w:type="band1Horz">
      <w:tblPr/>
      <w:tcPr>
        <w:shd w:color="auto" w:fill="d8d8d8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Shade="0000D8" w:val="clear"/>
      </w:tcPr>
    </w:tblStylePr>
    <w:tblStylePr w:type="band1Horz">
      <w:tblPr/>
      <w:tcPr>
        <w:shd w:color="auto" w:fill="d8d8d8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Shade="0000D8" w:val="clear"/>
      </w:tcPr>
    </w:tblStylePr>
    <w:tblStylePr w:type="band1Horz">
      <w:tblPr/>
      <w:tcPr>
        <w:shd w:color="auto" w:fill="d8d8d8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Shade="0000D8" w:val="clear"/>
      </w:tcPr>
    </w:tblStylePr>
    <w:tblStylePr w:type="band1Horz">
      <w:tblPr/>
      <w:tcPr>
        <w:shd w:color="auto" w:fill="d8d8d8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000000" w:space="0" w:sz="8" w:val="single"/>
        <w:bottom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bfbfbf" w:themeFillTint="00003F" w:val="clear"/>
      </w:tcPr>
    </w:tblStylePr>
    <w:tblStylePr w:type="band1Horz">
      <w:tblPr/>
      <w:tcPr>
        <w:shd w:color="auto" w:fill="bfbfbf" w:themeFillTint="00003F" w:val="clear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3" w:themeFill="accent2" w:themeFillTint="00003F" w:val="clear"/>
      </w:tcPr>
    </w:tblStylePr>
    <w:tblStylePr w:type="band1Horz">
      <w:tblPr/>
      <w:tcPr>
        <w:shd w:color="auto" w:fill="efd3d3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0" w:themeFill="accent5" w:themeFillTint="00003F" w:val="clear"/>
      </w:tcPr>
    </w:tblStylePr>
    <w:tblStylePr w:type="band1Horz">
      <w:tblPr/>
      <w:tcPr>
        <w:shd w:color="auto" w:fill="d2eaf0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5d1" w:themeFill="accent6" w:themeFillTint="00003F" w:val="clear"/>
      </w:tcPr>
    </w:tblStylePr>
    <w:tblStylePr w:type="band1Horz">
      <w:tblPr/>
      <w:tcPr>
        <w:shd w:color="auto" w:fill="fde5d1" w:themeFill="accent6" w:themeFillTint="00003F" w:val="clear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Tint="00003F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.0" w:type="dxa"/>
      <w:tblBorders>
        <w:top w:color="3f3f3f" w:space="0" w:sz="8" w:themeTint="0000BF" w:val="single"/>
        <w:left w:color="3f3f3f" w:space="0" w:sz="8" w:themeTint="0000BF" w:val="single"/>
        <w:bottom w:color="3f3f3f" w:space="0" w:sz="8" w:themeTint="0000BF" w:val="single"/>
        <w:right w:color="3f3f3f" w:space="0" w:sz="8" w:themeTint="0000BF" w:val="single"/>
        <w:insideH w:color="3f3f3f" w:space="0" w:sz="8" w:themeTint="0000BF" w:val="single"/>
        <w:insideV w:color="3f3f3f" w:space="0" w:sz="8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3f3f3f" w:space="0" w:sz="18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7f7f7f" w:themeFillTint="00007F" w:val="clear"/>
      </w:tcPr>
    </w:tblStylePr>
    <w:tblStylePr w:type="band1Horz">
      <w:tblPr/>
      <w:tcPr>
        <w:shd w:color="auto" w:fill="7f7f7f" w:themeFillTint="00007F" w:val="clear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.0" w:type="dxa"/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5e5e5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bcbcb" w:themeFillTint="000033" w:val="clear"/>
      </w:tcPr>
    </w:tblStylePr>
    <w:tblStylePr w:type="band1Vert">
      <w:tblPr/>
      <w:tcPr>
        <w:shd w:color="auto" w:fill="7f7f7f" w:themeFillTint="00007F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7f7f7f" w:themeFillTint="00007F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c0de" w:themeFill="accent1" w:themeFillTint="00007F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b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e0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a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Tint="00003F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7f7f7f" w:themeFillTint="00007F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7f7f7f" w:themeFillTint="00007F" w:val="clear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c0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Shade="0000BF" w:val="clear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4061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76092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6092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6092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76092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325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53735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53735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53735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53735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62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3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3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3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3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03152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604a7b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a7b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a7b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04a7b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1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5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5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5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5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807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4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4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themeFillShade="000099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Shade="000099" w:val="single"/>
          <w:insideV w:space="0" w:sz="0" w:val="nil"/>
        </w:tcBorders>
        <w:shd w:color="auto" w:fill="000000" w:themeFillShade="000099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Shade="0000BF" w:val="clear"/>
      </w:tcPr>
    </w:tblStylePr>
    <w:tblStylePr w:type="band1Vert">
      <w:tblPr/>
      <w:tcPr>
        <w:shd w:color="auto" w:fill="989898" w:themeFillTint="000066" w:val="clear"/>
      </w:tcPr>
    </w:tblStylePr>
    <w:tblStylePr w:type="band1Horz">
      <w:tblPr/>
      <w:tcPr>
        <w:shd w:color="auto" w:fill="7f7f7f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val="single"/>
        <w:insideV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d75" w:themeFill="accent1" w:themeFillShade="000099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d75" w:space="0" w:sz="4" w:themeColor="accent1" w:themeShade="000099" w:val="single"/>
          <w:insideV w:space="0" w:sz="0" w:val="nil"/>
        </w:tcBorders>
        <w:shd w:color="auto" w:fill="2c4d75" w:themeFill="accent1" w:themeFillShade="000099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d75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c0de" w:themeFill="accent1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val="single"/>
        <w:insideV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themeFill="accent2" w:themeFillShade="000099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9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val="single"/>
        <w:insideV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f7530" w:themeFill="accent3" w:themeFillShade="000099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f7530" w:space="0" w:sz="4" w:themeColor="accent3" w:themeShade="000099" w:val="single"/>
          <w:insideV w:space="0" w:sz="0" w:val="nil"/>
        </w:tcBorders>
        <w:shd w:color="auto" w:fill="5f7530" w:themeFill="accent3" w:themeFillShade="000099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7530" w:themeFill="accent3" w:themeFillShade="000099" w:val="clear"/>
      </w:tcPr>
    </w:tblStylePr>
    <w:tblStylePr w:type="band1Vert">
      <w:tblPr/>
      <w:tcPr>
        <w:shd w:color="auto" w:fill="d7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val="single"/>
        <w:insideV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d3b62" w:themeFill="accent4" w:themeFillShade="000099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d3b62" w:space="0" w:sz="4" w:themeColor="accent4" w:themeShade="000099" w:val="single"/>
          <w:insideV w:space="0" w:sz="0" w:val="nil"/>
        </w:tcBorders>
        <w:shd w:color="auto" w:fill="4d3b62" w:themeFill="accent4" w:themeFillShade="000099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d3b62" w:themeFill="accent4" w:themeFillShade="000099" w:val="clear"/>
      </w:tcPr>
    </w:tblStylePr>
    <w:tblStylePr w:type="band1Vert">
      <w:tblPr/>
      <w:tcPr>
        <w:shd w:color="auto" w:fill="ccc1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val="single"/>
        <w:insideV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themeFill="accent5" w:themeFillShade="000099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7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val="single"/>
        <w:insideV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708" w:themeFill="accent6" w:themeFillShade="000099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708" w:space="0" w:sz="4" w:themeColor="accent6" w:themeShade="000099" w:val="single"/>
          <w:insideV w:space="0" w:sz="0" w:val="nil"/>
        </w:tcBorders>
        <w:shd w:color="auto" w:fill="b65708" w:themeFill="accent6" w:themeFillShade="000099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708" w:themeFill="accent6" w:themeFillShade="000099" w:val="clear"/>
      </w:tcPr>
    </w:tblStylePr>
    <w:tblStylePr w:type="band1Vert">
      <w:tblPr/>
      <w:tcPr>
        <w:shd w:color="auto" w:fill="fbd5b5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Tint="00001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f3b38" w:themeFill="accent2" w:themeFillShade="0000CC" w:val="clear"/>
      </w:tcPr>
    </w:tblStylePr>
    <w:tblStylePr w:type="lastRow">
      <w:rPr>
        <w:b w:val="1"/>
        <w:bCs w:val="1"/>
        <w:color w:val="9f3b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Tint="00003F" w:val="clear"/>
      </w:tcPr>
    </w:tblStylePr>
    <w:tblStylePr w:type="band1Horz">
      <w:tblPr/>
      <w:tcPr>
        <w:shd w:color="auto" w:fill="cbcbcb" w:themeFillTint="000033" w:val="clear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f3b38" w:themeFill="accent2" w:themeFillShade="0000CC" w:val="clear"/>
      </w:tcPr>
    </w:tblStylePr>
    <w:tblStylePr w:type="lastRow">
      <w:rPr>
        <w:b w:val="1"/>
        <w:bCs w:val="1"/>
        <w:color w:val="9f3b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f3b38" w:themeFill="accent2" w:themeFillShade="0000CC" w:val="clear"/>
      </w:tcPr>
    </w:tblStylePr>
    <w:tblStylePr w:type="lastRow">
      <w:rPr>
        <w:b w:val="1"/>
        <w:bCs w:val="1"/>
        <w:color w:val="9f3b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f83" w:themeFill="accent4" w:themeFillShade="0000CC" w:val="clear"/>
      </w:tcPr>
    </w:tblStylePr>
    <w:tblStylePr w:type="lastRow">
      <w:rPr>
        <w:b w:val="1"/>
        <w:bCs w:val="1"/>
        <w:color w:val="664f83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b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d40" w:themeFill="accent3" w:themeFillShade="0000CC" w:val="clear"/>
      </w:tcPr>
    </w:tblStylePr>
    <w:tblStylePr w:type="lastRow">
      <w:rPr>
        <w:b w:val="1"/>
        <w:bCs w:val="1"/>
        <w:color w:val="7e9d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e0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3740b" w:themeFill="accent6" w:themeFillShade="0000CC" w:val="clear"/>
      </w:tcPr>
    </w:tblStylePr>
    <w:tblStylePr w:type="lastRow">
      <w:rPr>
        <w:b w:val="1"/>
        <w:bCs w:val="1"/>
        <w:color w:val="f3740b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58ea6" w:themeFill="accent5" w:themeFillShade="0000CC" w:val="clear"/>
      </w:tcPr>
    </w:tblStylePr>
    <w:tblStylePr w:type="lastRow">
      <w:rPr>
        <w:b w:val="1"/>
        <w:bCs w:val="1"/>
        <w:color w:val="358ea6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blPr/>
      <w:tcPr>
        <w:shd w:color="auto" w:fill="fdead9" w:themeFill="accent6" w:themeFillTint="000033" w:val="clear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bcbcb" w:themeFillTint="000033" w:val="clear"/>
    </w:tcPr>
    <w:tblStylePr w:type="firstRow">
      <w:rPr>
        <w:b w:val="1"/>
        <w:bCs w:val="1"/>
      </w:rPr>
      <w:tblPr/>
      <w:tcPr>
        <w:shd w:color="auto" w:fill="989898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989898" w:themeFillTint="000066" w:val="clear"/>
      </w:tcPr>
    </w:tblStylePr>
    <w:tblStylePr w:type="firstCol">
      <w:rPr>
        <w:color w:val="ffffff"/>
      </w:rPr>
      <w:tblPr/>
      <w:tcPr>
        <w:shd w:color="auto" w:fill="000000" w:themeFillShade="0000BF" w:val="clear"/>
      </w:tcPr>
    </w:tblStylePr>
    <w:tblStylePr w:type="lastCol">
      <w:rPr>
        <w:color w:val="ffffff"/>
      </w:rPr>
      <w:tblPr/>
      <w:tcPr>
        <w:shd w:color="auto" w:fill="000000" w:themeFillShade="0000BF" w:val="clear"/>
      </w:tcPr>
    </w:tblStylePr>
    <w:tblStylePr w:type="band1Vert">
      <w:tblPr/>
      <w:tcPr>
        <w:shd w:color="auto" w:fill="7f7f7f" w:themeFillTint="00007F" w:val="clear"/>
      </w:tcPr>
    </w:tblStylePr>
    <w:tblStylePr w:type="band1Horz">
      <w:tblPr/>
      <w:tcPr>
        <w:shd w:color="auto" w:fill="7f7f7f" w:themeFillTint="00007F" w:val="clear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themeFill="accent1" w:themeFillTint="000066" w:val="clear"/>
      </w:tcPr>
    </w:tblStylePr>
    <w:tblStylePr w:type="firstCol">
      <w:rPr>
        <w:color w:val="ffffff"/>
      </w:rPr>
      <w:tblPr/>
      <w:tcPr>
        <w:shd w:color="auto" w:fill="376092" w:themeFill="accent1" w:themeFillShade="0000BF" w:val="clear"/>
      </w:tcPr>
    </w:tblStylePr>
    <w:tblStylePr w:type="lastCol">
      <w:rPr>
        <w:color w:val="ffffff"/>
      </w:rPr>
      <w:tblPr/>
      <w:tcPr>
        <w:shd w:color="auto" w:fill="376092" w:themeFill="accent1" w:themeFillShade="0000BF" w:val="clear"/>
      </w:tcPr>
    </w:tblStylePr>
    <w:tblStylePr w:type="band1Vert">
      <w:tblPr/>
      <w:tcPr>
        <w:shd w:color="auto" w:fill="a7c0de" w:themeFill="accent1" w:themeFillTint="00007F" w:val="clear"/>
      </w:tcPr>
    </w:tblStylePr>
    <w:tblStylePr w:type="band1Horz">
      <w:tblPr/>
      <w:tcPr>
        <w:shd w:color="auto" w:fill="a7c0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9b7" w:themeFill="accent2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e5b9b7" w:themeFill="accent2" w:themeFillTint="000066" w:val="clear"/>
      </w:tcPr>
    </w:tblStylePr>
    <w:tblStylePr w:type="firstCol">
      <w:rPr>
        <w:color w:val="ffffff"/>
      </w:rPr>
      <w:tblPr/>
      <w:tcPr>
        <w:shd w:color="auto" w:fill="953735" w:themeFill="accent2" w:themeFillShade="0000BF" w:val="clear"/>
      </w:tcPr>
    </w:tblStylePr>
    <w:tblStylePr w:type="lastCol">
      <w:rPr>
        <w:color w:val="ffffff"/>
      </w:rPr>
      <w:tblPr/>
      <w:tcPr>
        <w:shd w:color="auto" w:fill="953735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bf1dd" w:themeFill="accent3" w:themeFillTint="000033" w:val="clear"/>
    </w:tcPr>
    <w:tblStylePr w:type="firstRow">
      <w:rPr>
        <w:b w:val="1"/>
        <w:bCs w:val="1"/>
      </w:rPr>
      <w:tblPr/>
      <w:tcPr>
        <w:shd w:color="auto" w:fill="d7e3bc" w:themeFill="accent3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d7e3bc" w:themeFill="accent3" w:themeFillTint="000066" w:val="clear"/>
      </w:tcPr>
    </w:tblStylePr>
    <w:tblStylePr w:type="firstCol">
      <w:rPr>
        <w:color w:val="ffffff"/>
      </w:rPr>
      <w:tblPr/>
      <w:tcPr>
        <w:shd w:color="auto" w:fill="76933c" w:themeFill="accent3" w:themeFillShade="0000BF" w:val="clear"/>
      </w:tcPr>
    </w:tblStylePr>
    <w:tblStylePr w:type="lastCol">
      <w:rPr>
        <w:color w:val="ffffff"/>
      </w:rPr>
      <w:tblPr/>
      <w:tcPr>
        <w:shd w:color="auto" w:fill="7693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0ec" w:themeFill="accent4" w:themeFillTint="000033" w:val="clear"/>
    </w:tcPr>
    <w:tblStylePr w:type="firstRow">
      <w:rPr>
        <w:b w:val="1"/>
        <w:bCs w:val="1"/>
      </w:rPr>
      <w:tblPr/>
      <w:tcPr>
        <w:shd w:color="auto" w:fill="ccc1d9" w:themeFill="accent4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ccc1d9" w:themeFill="accent4" w:themeFillTint="000066" w:val="clear"/>
      </w:tcPr>
    </w:tblStylePr>
    <w:tblStylePr w:type="firstCol">
      <w:rPr>
        <w:color w:val="ffffff"/>
      </w:rPr>
      <w:tblPr/>
      <w:tcPr>
        <w:shd w:color="auto" w:fill="604a7b" w:themeFill="accent4" w:themeFillShade="0000BF" w:val="clear"/>
      </w:tcPr>
    </w:tblStylePr>
    <w:tblStylePr w:type="lastCol">
      <w:rPr>
        <w:color w:val="ffffff"/>
      </w:rPr>
      <w:tblPr/>
      <w:tcPr>
        <w:shd w:color="auto" w:fill="604a7b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7dde8" w:themeFill="accent5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b7dde8" w:themeFill="accent5" w:themeFillTint="000066" w:val="clear"/>
      </w:tcPr>
    </w:tblStylePr>
    <w:tblStylePr w:type="firstCol">
      <w:rPr>
        <w:color w:val="ffffff"/>
      </w:rPr>
      <w:tblPr/>
      <w:tcPr>
        <w:shd w:color="auto" w:fill="31859b" w:themeFill="accent5" w:themeFillShade="0000BF" w:val="clear"/>
      </w:tcPr>
    </w:tblStylePr>
    <w:tblStylePr w:type="lastCol">
      <w:rPr>
        <w:color w:val="ffffff"/>
      </w:rPr>
      <w:tblPr/>
      <w:tcPr>
        <w:shd w:color="auto" w:fill="3185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Ind w:w="0.0" w:type="dxa"/>
      <w:tblBorders>
        <w:insideH w:color="ffffff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ad9" w:themeFill="accent6" w:themeFillTint="000033" w:val="clear"/>
    </w:tcPr>
    <w:tblStylePr w:type="firstRow">
      <w:rPr>
        <w:b w:val="1"/>
        <w:bCs w:val="1"/>
      </w:rPr>
      <w:tblPr/>
      <w:tcPr>
        <w:shd w:color="auto" w:fill="fbd5b5" w:themeFill="accent6" w:themeFillTint="000066" w:val="clear"/>
      </w:tcPr>
    </w:tblStylePr>
    <w:tblStylePr w:type="lastRow">
      <w:rPr>
        <w:b w:val="1"/>
        <w:bCs w:val="1"/>
        <w:color w:val="000000"/>
      </w:rPr>
      <w:tblPr/>
      <w:tcPr>
        <w:shd w:color="auto" w:fill="fbd5b5" w:themeFill="accent6" w:themeFillTint="000066" w:val="clear"/>
      </w:tcPr>
    </w:tblStylePr>
    <w:tblStylePr w:type="firstCol">
      <w:rPr>
        <w:color w:val="ffffff"/>
      </w:rPr>
      <w:tblPr/>
      <w:tcPr>
        <w:shd w:color="auto" w:fill="e46c0a" w:themeFill="accent6" w:themeFillShade="0000BF" w:val="clear"/>
      </w:tcPr>
    </w:tblStylePr>
    <w:tblStylePr w:type="lastCol">
      <w:rPr>
        <w:color w:val="ffffff"/>
      </w:rPr>
      <w:tblPr/>
      <w:tcPr>
        <w:shd w:color="auto" w:fill="e4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0HGxbijLvS2Qw1sGJZdFfwqRqg==">CgMxLjAyDmguaHd2ZzYwbTVlYnZ3OAByITFObExuTEZXa0wzWFBrVVBpcHNMZUpxN2p2TlhxMkRHZg==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