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회사 기본 배분금 중 80%가 재투자되며, 쓰지 못한 금액은 이월되고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종료 시 남은 금액의 50%는 선수에게 지급됨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회사가 새로 개설한 채널의 운영권은 회사에 있고,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선수의 기존 계정과 선수 명의 계정은 선수 소유임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회사가 새로 개설한 채널 인수에는 이전대가(해당 채널 미회수 재투자금 + 최근 12개월 순수익)가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없이 중도 해지하면 손해배상 예정액(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총매출 15% × 잔여 계약기간 비율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)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대표자(장호준)가 업무에서 물러나면 선수는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손해배상 예정액·재투자금 반환 없이 해지할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위약금이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수수료·배분비율·서비스 비용의 결정·변경은 서명한 문서로만 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계약 체결·변경 전에 독립적인 법률 조언을 받을 수 있음을 서면으로 안내받았음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