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2926080" cy="453656"/>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2926080" cy="453656"/>
                    </a:xfrm>
                    <a:prstGeom prst="rect"/>
                  </pic:spPr>
                </pic:pic>
              </a:graphicData>
            </a:graphic>
          </wp:inline>
        </w:drawing>
      </w:r>
    </w:p>
    <w:p>
      <w:pPr>
        <w:spacing w:before="560" w:after="200"/>
        <w:jc w:val="center"/>
      </w:pPr>
      <w:r>
        <w:rPr>
          <w:rFonts w:ascii="Calibri" w:hAnsi="Calibri" w:eastAsia="Malgun Gothic"/>
          <w:b/>
          <w:color w:val="0B2545"/>
          <w:sz w:val="48"/>
        </w:rPr>
        <w:t>선수용 장기형 핵심설명서</w:t>
      </w:r>
    </w:p>
    <w:p>
      <w:pPr>
        <w:spacing w:after="440"/>
        <w:jc w:val="center"/>
      </w:pPr>
      <w:r>
        <w:rPr>
          <w:rFonts w:ascii="Calibri" w:hAnsi="Calibri" w:eastAsia="Malgun Gothic"/>
          <w:color w:val="1F4D78"/>
          <w:sz w:val="24"/>
        </w:rPr>
        <w:t>AAC 계약 패키지</w:t>
      </w:r>
    </w:p>
    <w:p>
      <w:pPr>
        <w:pBdr>
          <w:bottom w:val="single" w:sz="10" w:space="6" w:color="1F4D78"/>
        </w:pBdr>
      </w:pP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12"/>
        </w:numPr>
      </w:pPr>
      <w:r>
        <w:rPr>
          <w:rFonts w:ascii="Calibri" w:hAnsi="Calibri" w:eastAsia="Malgun Gothic"/>
          <w:b w:val="0"/>
        </w:rPr>
        <w:t>계약 후 60일 이내에 시즌 또는 연간 성장계획을 함께 정한다.</w:t>
      </w:r>
    </w:p>
    <w:p>
      <w:pPr>
        <w:numPr>
          <w:ilvl w:val="0"/>
          <w:numId w:val="12"/>
        </w:numPr>
      </w:pPr>
      <w:r>
        <w:rPr>
          <w:rFonts w:ascii="Calibri" w:hAnsi="Calibri" w:eastAsia="Malgun Gothic"/>
          <w:b w:val="0"/>
        </w:rPr>
        <w:t>활동이 있는 분기마다 수행 업무, 파트너 발굴과 재투자 현황을 공유한다.</w:t>
      </w:r>
    </w:p>
    <w:p>
      <w:pPr>
        <w:numPr>
          <w:ilvl w:val="0"/>
          <w:numId w:val="12"/>
        </w:numPr>
      </w:pPr>
      <w:r>
        <w:rPr>
          <w:rFonts w:ascii="Calibri" w:hAnsi="Calibri" w:eastAsia="Malgun Gothic"/>
          <w:b w:val="0"/>
        </w:rPr>
        <w:t>선수의 훈련·경기·건강과 공식 소속기관 의무를 먼저 고려한다.</w:t>
      </w:r>
    </w:p>
    <w:p>
      <w:pPr>
        <w:numPr>
          <w:ilvl w:val="0"/>
          <w:numId w:val="12"/>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p>
    <w:sectPr w:rsidR="00FC693F" w:rsidRPr="0006063C" w:rsidSect="00034616">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선수용 장기형 핵심설명서</dc:title>
  <dc:subject>AAC 계약 패키지</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