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장기형 중요조항 확인서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AAC 계약 패키지</w:t>
      </w:r>
    </w:p>
    <w:p>
      <w:pPr>
        <w:pBdr>
          <w:bottom w:val="single" w:sz="10" w:space="6" w:color="1F4D78"/>
        </w:pBdr>
      </w:pPr>
    </w:p>
    <w:p>
      <w:r>
        <w:rPr>
          <w:rFonts w:ascii="Calibri" w:hAnsi="Calibri" w:eastAsia="Malgun Gothic"/>
          <w:b w:val="0"/>
        </w:rPr>
        <w:t>선수는 다음 사항에 관하여 설명을 듣고 확인한다.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630"/>
        <w:gridCol w:w="1870"/>
      </w:tblGrid>
      <w:tr>
        <w:trPr>
          <w:tblHeader w:val="true"/>
          <w:tblHeader/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확인사항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선수 확인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AAC Athlete는 브랜드 멤버십이며 공식 소속팀·학교·직장·등록을 대체하지 않음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장기형은 성장계획·분기별 공유·재투자를 포함한 종합 매니지먼트임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개인채널 콘텐츠 참여보상은 자발적 인센티브이며 재투자금이나 선수 수익에서 공제되지 않음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소속기관 수입은 선수에게 100% 귀속됨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경기상금은 선수에게 100% 귀속됨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회사가 교섭한 출전료·초청료는 50:50임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 xml:space="preserve">일반 배분대상 순수익은 선수 50%, 회사 50%이며, 선수가 직접 유치해 서면으로 알린 거래는 </w:t>
            </w:r>
            <w:r>
              <w:rPr>
                <w:rFonts w:ascii="맑은 고딕" w:hAnsi="맑은 고딕" w:eastAsia="맑은 고딕"/>
                <w:b/>
                <w:color w:val="0D5F5A"/>
                <w:sz w:val="20"/>
              </w:rPr>
              <w:t>선수 70%, 회사 30%</w:t>
            </w: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임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 기본 배분금 중 80%가 재투자됨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 xml:space="preserve">재투자금은 회사에 귀속된 돈을 회사가 다시 투자하는 구조이나, 정당한 사유 없이 중도 해지하면 미회수액 중 </w:t>
            </w:r>
            <w:r>
              <w:rPr>
                <w:rFonts w:ascii="맑은 고딕" w:hAnsi="맑은 고딕" w:eastAsia="맑은 고딕"/>
                <w:b/>
                <w:color w:val="0D5F5A"/>
                <w:sz w:val="20"/>
              </w:rPr>
              <w:t>잔여 계약기간 비율만큼</w:t>
            </w: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 xml:space="preserve"> 반환함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재투자 콘텐츠는 계약 중 선수 30%, 회사 70% 구조임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계약 종료 후 3년간 선수 42%, 회사 58% 구조임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종료 3년 후 기존 콘텐츠 수익은 회사에 귀속됨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회사가 개설·운영한 채널의 운영권은 회사에 있음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채널 인수에는 이전대가가 필요함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정당한 사유 없는 해지 시 위약벌 등이 발생할 수 있음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 xml:space="preserve">선수 잘못이 아닌 부상 해지에는 </w:t>
            </w:r>
            <w:r>
              <w:rPr>
                <w:rFonts w:ascii="맑은 고딕" w:hAnsi="맑은 고딕" w:eastAsia="맑은 고딕"/>
                <w:b/>
                <w:color w:val="0D5F5A"/>
                <w:sz w:val="20"/>
              </w:rPr>
              <w:t>위약벌이 없고, 미회수 재투자금도 선수에게 청구하지 않음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소속기관 협상은 별도 위임과 비용합의가 필요함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정산자료와 재투자자료를 열람할 수 있음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b w:val="0"/>
        </w:rPr>
        <w:t>선수는 충분한 설명을 듣고 질문할 기회를 제공받았음을 확인한다.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설명일: ______년 ___월 ___일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설명자: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법정대리인: 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전속 매니지먼트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장기형 중요조항 확인서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