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200"/>
        <w:jc w:val="center"/>
      </w:pPr>
      <w:r>
        <w:rPr>
          <w:rFonts w:ascii="Calibri" w:hAnsi="Calibri" w:eastAsia="Malgun Gothic"/>
          <w:b/>
          <w:color w:val="0B2545"/>
          <w:sz w:val="48"/>
        </w:rPr>
        <w:t>장기형 중요조항 확인서</w:t>
      </w:r>
    </w:p>
    <w:p>
      <w:pPr>
        <w:spacing w:after="440"/>
        <w:jc w:val="center"/>
      </w:pPr>
      <w:r>
        <w:rPr>
          <w:rFonts w:ascii="Calibri" w:hAnsi="Calibri" w:eastAsia="Malgun Gothic"/>
          <w:color w:val="1F4D78"/>
          <w:sz w:val="24"/>
        </w:rPr>
        <w:t>AAC 계약 패키지</w:t>
      </w:r>
    </w:p>
    <w:p>
      <w:pPr>
        <w:pBdr>
          <w:bottom w:val="single" w:sz="10" w:space="6" w:color="1F4D78"/>
        </w:pBdr>
      </w:pPr>
    </w:p>
    <w:p>
      <w:r>
        <w:rPr>
          <w:rFonts w:ascii="Calibri" w:hAnsi="Calibri" w:eastAsia="Malgun Gothic"/>
          <w:b w:val="0"/>
        </w:rPr>
        <w:t>선수는 다음 사항에 관하여 설명을 듣고 확인한다.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6630"/>
        <w:gridCol w:w="1870"/>
      </w:tblGrid>
      <w:tr>
        <w:trPr>
          <w:tblHeader w:val="true"/>
          <w:tblHeader/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확인사항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선수 확인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AAC Athlete는 브랜드 멤버십이며 공식 소속팀·학교·직장·등록을 대체하지 않음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장기형은 성장계획·분기별 공유·재투자를 포함한 종합 매니지먼트임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개인채널 콘텐츠 참여보상은 자발적 인센티브이며 재투자금이나 선수 수익에서 공제되지 않음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소속기관 수입은 선수에게 100% 귀속됨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경기상금은 선수에게 100% 귀속됨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회사가 교섭한 출전료·초청료는 50:50임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 xml:space="preserve">일반 배분대상 순수익은 선수 50%, 회사 50%이며, 선수가 직접 유치해 서면으로 알린 거래는 </w:t>
            </w:r>
            <w:r>
              <w:rPr>
                <w:rFonts w:ascii="맑은 고딕" w:hAnsi="맑은 고딕" w:eastAsia="맑은 고딕"/>
                <w:b/>
                <w:color w:val="0D5F5A"/>
                <w:sz w:val="20"/>
              </w:rPr>
              <w:t>선수 70%, 회사 30%</w:t>
            </w: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임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회사 계정·이메일·제안서 등 회사 채널로 들어온 제안은 선수를 지목했더라도 50:50임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 xml:space="preserve">회사 기본 배분금 중 80%가 재투자되며, 쓰지 못한 금액은 이월되고 </w:t>
            </w:r>
            <w:r>
              <w:rPr>
                <w:rFonts w:ascii="맑은 고딕" w:hAnsi="맑은 고딕" w:eastAsia="맑은 고딕"/>
                <w:b/>
                <w:color w:val="0D5F5A"/>
                <w:sz w:val="20"/>
              </w:rPr>
              <w:t>종료 시 남은 금액의 50%는 선수에게 지급됨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 xml:space="preserve">재투자금은 회사에 귀속된 돈을 회사가 다시 투자하는 구조이나, 정당한 사유 없이 중도 해지하면 미회수액 중 </w:t>
            </w:r>
            <w:r>
              <w:rPr>
                <w:rFonts w:ascii="맑은 고딕" w:hAnsi="맑은 고딕" w:eastAsia="맑은 고딕"/>
                <w:b/>
                <w:color w:val="0D5F5A"/>
                <w:sz w:val="20"/>
              </w:rPr>
              <w:t>잔여 계약기간 비율만큼</w:t>
            </w: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 xml:space="preserve"> 반환함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재투자 콘텐츠는 계약 중 선수 30%, 회사 70% 구조임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계약 종료 후 3년간 선수 42%, 회사 58% 구조임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종료 3년 후 기존 콘텐츠 수익은 회사에 귀속됨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 xml:space="preserve">회사가 새로 개설한 채널의 운영권은 회사에 있고, </w:t>
            </w:r>
            <w:r>
              <w:rPr>
                <w:rFonts w:ascii="맑은 고딕" w:hAnsi="맑은 고딕" w:eastAsia="맑은 고딕"/>
                <w:b/>
                <w:color w:val="0D5F5A"/>
                <w:sz w:val="20"/>
              </w:rPr>
              <w:t>선수의 기존 계정과 선수 명의 계정은 선수 소유임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회사가 새로 개설한 채널 인수에는 이전대가(해당 채널 미회수 재투자금 + 최근 12개월 순수익)가 필요함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정당한 사유 없이 중도 해지하면 손해배상 예정액(</w:t>
            </w:r>
            <w:r>
              <w:rPr>
                <w:rFonts w:ascii="맑은 고딕" w:hAnsi="맑은 고딕" w:eastAsia="맑은 고딕"/>
                <w:b/>
                <w:color w:val="0D5F5A"/>
                <w:sz w:val="20"/>
              </w:rPr>
              <w:t>총매출 15% × 잔여 계약기간 비율</w:t>
            </w: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) 등이 발생할 수 있음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 xml:space="preserve">대표자(장호준)가 업무에서 물러나면 선수는 </w:t>
            </w:r>
            <w:r>
              <w:rPr>
                <w:rFonts w:ascii="맑은 고딕" w:hAnsi="맑은 고딕" w:eastAsia="맑은 고딕"/>
                <w:b/>
                <w:color w:val="0D5F5A"/>
                <w:sz w:val="20"/>
              </w:rPr>
              <w:t>손해배상 예정액·재투자금 반환 없이 해지할 수 있음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 xml:space="preserve">선수 잘못이 아닌 부상 해지에는 </w:t>
            </w:r>
            <w:r>
              <w:rPr>
                <w:rFonts w:ascii="맑은 고딕" w:hAnsi="맑은 고딕" w:eastAsia="맑은 고딕"/>
                <w:b/>
                <w:color w:val="0D5F5A"/>
                <w:sz w:val="20"/>
              </w:rPr>
              <w:t>위약금이 없고, 미회수 재투자금도 선수에게 청구하지 않음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소속기관 협상은 별도 위임과 비용합의가 필요함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수수료·배분비율·서비스 비용의 결정·변경은 서명한 문서로만 함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개인정보·민감정보 동의서(14번)를 받았으며, 선택 항목에 동의하지 않아도 불이익이 없음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겸직 허가·소속기관 승인은 계약 전에 받을 것을 권장하며, 받지 않으면 분쟁·징계 등 불이익이 생길 수 있음을 알고 있음. 회사는 준비를 도울 수 있으나 대리인이 되지 않음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계약 체결·변경 전에 독립적인 법률 조언을 받을 수 있음을 서면으로 안내받았음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정산자료와 재투자자료를 열람할 수 있음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</w:tbl>
    <w:p>
      <w:pPr>
        <w:spacing w:after="40"/>
      </w:pPr>
    </w:p>
    <w:p>
      <w:r>
        <w:rPr>
          <w:rFonts w:ascii="Calibri" w:hAnsi="Calibri" w:eastAsia="Malgun Gothic"/>
          <w:b w:val="0"/>
        </w:rPr>
        <w:t>선수는 충분한 설명을 듣고 질문할 기회를 제공받았음을 확인한다.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설명일: ______년 ___월 ___일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설명자: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선수: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법정대리인: __________________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1701" w:bottom="850" w:left="1701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5F6B7A"/>
        <w:sz w:val="18"/>
      </w:rPr>
      <w:t xml:space="preserve">Page </w:t>
    </w:r>
    <w:fldSimple w:instr="PAGE">
      <w:r>
        <w:rPr>
          <w:rFonts w:ascii="Calibri" w:hAnsi="Calibri"/>
          <w:sz w:val="18"/>
          <w:color w:val="5F6B7A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60"/>
    </w:pPr>
    <w:r>
      <w:rPr>
        <w:rFonts w:ascii="Calibri" w:hAnsi="Calibri" w:eastAsia="Malgun Gothic"/>
        <w:b/>
        <w:color w:val="5F6B7A"/>
        <w:sz w:val="17"/>
      </w:rPr>
      <w:t>육상선수 전속 매니지먼트 계약 패키지</w:t>
    </w:r>
    <w:r>
      <w:rPr>
        <w:rFonts w:ascii="Calibri" w:hAnsi="Calibri" w:eastAsia="Malgun Gothic"/>
        <w:color w:val="5F6B7A"/>
        <w:sz w:val="17"/>
      </w:rPr>
      <w:tab/>
      <w:t>Infinite Opportunity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bullet"/>
      <w:lvlText w:val="–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bullet"/>
      <w:lvlText w:val="◦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24" w:lineRule="auto"/>
    </w:pPr>
    <w:rPr>
      <w:rFonts w:ascii="맑은 고딕" w:hAnsi="맑은 고딕" w:eastAsia="맑은 고딕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80" w:line="300" w:lineRule="auto"/>
      <w:ind w:left="269" w:firstLine="0"/>
    </w:pPr>
  </w:style>
  <w:style w:type="paragraph" w:customStyle="1" w:styleId="TableBody">
    <w:name w:val="Table Body"/>
    <w:basedOn w:val="Normal"/>
    <w:pPr>
      <w:spacing w:before="0" w:after="0" w:line="276" w:lineRule="auto"/>
    </w:pPr>
    <w:rPr>
      <w:sz w:val="18"/>
    </w:rPr>
  </w:style>
  <w:style w:type="paragraph" w:customStyle="1" w:styleId="TableHeader">
    <w:name w:val="Table Header"/>
    <w:basedOn w:val="TableBody"/>
    <w:rPr>
      <w:b/>
      <w:color w:val="0B2545"/>
    </w:rPr>
  </w:style>
  <w:style w:type="paragraph" w:customStyle="1" w:styleId="LegalNote">
    <w:name w:val="Legal Note"/>
    <w:basedOn w:val="Normal"/>
    <w:pPr>
      <w:spacing w:before="120" w:after="160" w:line="288" w:lineRule="auto"/>
      <w:ind w:left="259" w:right="259"/>
    </w:pPr>
    <w:rPr>
      <w:color w:val="5F6B7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장기형 중요조항 확인서</dc:title>
  <dc:subject>AAC 계약 패키지</dc:subject>
  <dc:creator>Infinite Opportunity</dc:creator>
  <cp:keywords>육상선수, 전속계약, 매니지먼트, 스폰서십, 콘텐츠</cp:keywords>
  <dc:description>계약 체결 전 빈칸과 별지를 완성하고 전문가 검토를 권장함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