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본인의 계정·연락처로 받은 제안으로서 그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r>
        <w:rPr>
          <w:rFonts w:ascii="Calibri" w:hAnsi="Calibri" w:eastAsia="Malgun Gothic"/>
          <w:b w:val="0"/>
        </w:rPr>
        <w:t xml:space="preserve"> 다만 회사의 계정·이메일·연락처나 회사가 배포한 제안서 등 회사 채널을 통해 접수된 제안은 특정 선수를 지목한 경우에도 회사가 유치한 거래로 보아 제12조제4항 본문의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② 선수가 소속기관으로부터 정상적으로 급여를 받는 동안, 회사는 회사의 기본 배분금 중 80%를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⑦ 회사는 재투자 내역과 증빙자료를 보관하고 정산명세서 또는 별도 투자보고서로 선수에게 제공한다.</w:t>
      </w:r>
    </w:p>
    <w:p>
      <w:r>
        <w:rPr>
          <w:rFonts w:ascii="Calibri" w:hAnsi="Calibri" w:eastAsia="Malgun Gothic"/>
          <w:b w:val="0"/>
        </w:rPr>
        <w:t>⑧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새로 개설한 채널의 개설자 지위, 로그인 권한, 관리자 권한, 채널명·핸들, 수익화 계정 연결권 및 운영권은 회사에 귀속한다.</w:t>
      </w:r>
      <w:r>
        <w:rPr>
          <w:rFonts w:ascii="Calibri" w:hAnsi="Calibri" w:eastAsia="Malgun Gothic"/>
          <w:b w:val="0"/>
        </w:rPr>
        <w:t xml:space="preserve"> </w:t>
      </w:r>
      <w:r>
        <w:rPr>
          <w:rFonts w:ascii="Calibri" w:hAnsi="Calibri" w:eastAsia="Malgun Gothic"/>
          <w:b/>
          <w:color w:val="0D5F5A"/>
        </w:rPr>
        <w:t>계약 체결 전부터 선수가 보유한 계정과 선수 본인 명의로 개설된 계정은 회사가 콘텐츠 제작비·광고비 등을 부담하였더라도 선수에게 귀속하며, 본 조와 제18조를 적용하지 않는다.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② 채널 이전대가는 다음 금액 중 큰 금액으로 한다.</w:t>
      </w:r>
    </w:p>
    <w:p>
      <w:pPr>
        <w:numPr>
          <w:ilvl w:val="0"/>
          <w:numId w:val="34"/>
        </w:numPr>
      </w:pPr>
      <w:r>
        <w:rPr>
          <w:rFonts w:ascii="Calibri" w:hAnsi="Calibri" w:eastAsia="Malgun Gothic"/>
          <w:b w:val="0"/>
        </w:rPr>
        <w:t>누적 재투자금의 30%에 1,000만 원 초과분의 20%를 더한 금액</w:t>
      </w:r>
    </w:p>
    <w:p>
      <w:pPr>
        <w:numPr>
          <w:ilvl w:val="0"/>
          <w:numId w:val="34"/>
        </w:numPr>
      </w:pPr>
      <w:r>
        <w:rPr>
          <w:rFonts w:ascii="Calibri" w:hAnsi="Calibri" w:eastAsia="Malgun Gothic"/>
          <w:b w:val="0"/>
        </w:rPr>
        <w:t>이전 요청일 직전 24개월 동안의 월평균 채널 순수익에 24를 곱한 금액</w:t>
      </w:r>
    </w:p>
    <w:p>
      <w:r>
        <w:rPr>
          <w:rFonts w:ascii="Calibri" w:hAnsi="Calibri" w:eastAsia="Malgun Gothic"/>
          <w:b w:val="0"/>
        </w:rPr>
        <w:t>③ 채널 운영기간이 24개월 미만인 경우 실제 운영기간의 월평균 순수익에 24를 곱한다. 다만 실제 운영기간이 3개월 미만이면 제2항 제1호를 우선 적용하거나 별도 합의한다.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⑤ 회사의 귀책으로 선수가 해지하는 경우 선수는 손해배상 예정액·미회수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제2항에 따른 손해배상 예정액</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 xml:space="preserve">② 제1항제1호의 금액은 손해배상액의 예정으로서, </w:t>
      </w:r>
      <w:r>
        <w:rPr>
          <w:rFonts w:ascii="Calibri" w:hAnsi="Calibri" w:eastAsia="Malgun Gothic"/>
          <w:b/>
          <w:color w:val="0D5F5A"/>
        </w:rPr>
        <w:t>해지일까지 계약기간 중 발생한 배분대상 총매출의 15%에 잔여 계약기간을 전체 계약기간으로 나눈 비율을 곱한 금액</w:t>
      </w:r>
      <w:r>
        <w:rPr>
          <w:rFonts w:ascii="Calibri" w:hAnsi="Calibri" w:eastAsia="Malgun Gothic"/>
          <w:b w:val="0"/>
        </w:rPr>
        <w:t>으로 한다. 기간 계산은 제3항과 같다.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손해배상 예정액과 그 목적을 달리한다.</w:t>
      </w:r>
    </w:p>
    <w:p>
      <w:r>
        <w:rPr>
          <w:rFonts w:ascii="Calibri" w:hAnsi="Calibri" w:eastAsia="Malgun Gothic"/>
          <w:b w:val="0"/>
        </w:rPr>
        <w:t>④ 동일한 손해 또는 비용을 손해배상 예정액·투자금 반환·기타 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 xml:space="preserve">⑥ 손해배상 예정액 또는 반환금이 부당히 과다한 경우 </w:t>
      </w:r>
      <w:r>
        <w:rPr>
          <w:rFonts w:ascii="Calibri" w:hAnsi="Calibri" w:eastAsia="Malgun Gothic"/>
          <w:b/>
          <w:color w:val="0D5F5A"/>
        </w:rPr>
        <w:t>법원은 이를 적당히 감액할 수 있다.</w:t>
      </w:r>
      <w:r>
        <w:rPr>
          <w:rFonts w:ascii="Calibri" w:hAnsi="Calibri" w:eastAsia="Malgun Gothic"/>
          <w:b w:val="0"/>
        </w:rPr>
        <w:t xml:space="preserve"> 당사자는 실제 계약이행 기간, 회사의 투자와 업무수행, 선수의 위반 정도 및 예상손해를 고려하여 협의로 조정할 수도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손해배상 예정액을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sz w:val="20"/>
              </w:rPr>
              <w:t>회사 채널 접수 제안 (선수 지목 포함)</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경유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새로 개설한 채널의 운영권은 회사에 있습니다. 선수는 계약 종료 후 정해진 이전대가를 내고 인수를 요청할 수 있습니다.</w:t>
      </w:r>
      <w:r>
        <w:rPr>
          <w:rFonts w:ascii="Calibri" w:hAnsi="Calibri" w:eastAsia="Malgun Gothic"/>
          <w:b w:val="0"/>
        </w:rPr>
        <w:t xml:space="preserve"> </w:t>
      </w:r>
      <w:r>
        <w:rPr>
          <w:rFonts w:ascii="Calibri" w:hAnsi="Calibri" w:eastAsia="Malgun Gothic"/>
          <w:b/>
          <w:color w:val="0D5F5A"/>
        </w:rPr>
        <w:t>선수가 원래 갖고 있던 계정과 선수 명의 계정은 회사가 비용을 대도 선수 것입니다.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본인 계정·연락처로 받은 제안의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다만 AAC 인스타그램·이메일이나 회사 제안서를 통해 들어온 제안은 선수를 지목했더라도 회사 유치로 보아 50:50입니다.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val="0"/>
        </w:rPr>
        <w:t>네. 당사자와 합의내용을 확인할 수 있으면 서면합의로 인정합니다.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r>
        <w:rPr>
          <w:rFonts w:ascii="Calibri" w:hAnsi="Calibri" w:eastAsia="Malgun Gothic"/>
          <w:b w:val="0"/>
        </w:rPr>
        <w:t xml:space="preserve"> </w:t>
      </w:r>
      <w:r>
        <w:rPr>
          <w:rFonts w:ascii="Calibri" w:hAnsi="Calibri" w:eastAsia="Malgun Gothic"/>
          <w:b/>
          <w:color w:val="0D5F5A"/>
        </w:rPr>
        <w:t>이는 회사가 새로 개설한 채널에 한합니다. 선수가 원래 갖고 있던 계정과 선수 명의 계정은 처음부터 선수 것이라 이전대가가 없습니다.</w:t>
      </w:r>
    </w:p>
    <w:p>
      <w:pPr>
        <w:pStyle w:val="Heading2"/>
        <w:keepNext/>
      </w:pPr>
      <w:r>
        <w:t>Q29. 채널 이전대가는 어떻게 계산하나요?</w:t>
      </w:r>
    </w:p>
    <w:p>
      <w:r>
        <w:rPr>
          <w:rFonts w:ascii="Calibri" w:hAnsi="Calibri" w:eastAsia="Malgun Gothic"/>
          <w:b w:val="0"/>
        </w:rPr>
        <w:t>투자금 기준 금액과 최근 24개월 수익가치 중 큰 금액으로 계산합니다.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손해배상 예정액(위약금)과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예정액도 </w:t>
      </w:r>
      <w:r>
        <w:rPr>
          <w:rFonts w:ascii="Calibri" w:hAnsi="Calibri" w:eastAsia="Malgun Gothic"/>
          <w:b/>
          <w:color w:val="0D5F5A"/>
        </w:rPr>
        <w:t>그동안의 배분대상 총매출의 15%에 남은 기간 비율을 곱한 금액</w:t>
      </w:r>
      <w:r>
        <w:rPr>
          <w:rFonts w:ascii="Calibri" w:hAnsi="Calibri" w:eastAsia="Malgun Gothic"/>
          <w:b w:val="0"/>
        </w:rPr>
        <w:t>입니다. 같은 예에서 4년간 총매출이 1억 원이면 300만 원입니다.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등 회사 채널로 들어온 제안은 선수를 지목했더라도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기본 배분금 중 80%가 재투자됨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회사가 새로 개설한 채널의 운영권은 회사에 있고, </w:t>
            </w:r>
            <w:r>
              <w:rPr>
                <w:rFonts w:ascii="맑은 고딕" w:hAnsi="맑은 고딕" w:eastAsia="맑은 고딕"/>
                <w:b/>
                <w:color w:val="0D5F5A"/>
                <w:sz w:val="20"/>
              </w:rPr>
              <w:t>선수의 기존 계정과 선수 명의 계정은 선수 소유임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채널 인수에는 이전대가가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없이 중도 해지하면 손해배상 예정액(</w:t>
            </w:r>
            <w:r>
              <w:rPr>
                <w:rFonts w:ascii="맑은 고딕" w:hAnsi="맑은 고딕" w:eastAsia="맑은 고딕"/>
                <w:b/>
                <w:color w:val="0D5F5A"/>
                <w:sz w:val="20"/>
              </w:rPr>
              <w:t>총매출 15% × 잔여 계약기간 비율</w:t>
            </w:r>
            <w:r>
              <w:rPr>
                <w:rFonts w:ascii="맑은 고딕" w:hAnsi="맑은 고딕" w:eastAsia="맑은 고딕"/>
                <w:b w:val="0"/>
                <w:color w:val="000000"/>
                <w:sz w:val="20"/>
              </w:rPr>
              <w:t>)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위약금이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