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개설·운영한 채널의 개설자 지위, 로그인 권한, 관리자 권한, 채널명·핸들, 수익화 계정 연결권 및 운영권은 회사에 귀속한다.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손해배상 예정액·미회수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제2항에 따른 손해배상 예정액</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 xml:space="preserve">② 제1항제1호의 금액은 손해배상액의 예정으로서, </w:t>
      </w:r>
      <w:r>
        <w:rPr>
          <w:rFonts w:ascii="Calibri" w:hAnsi="Calibri" w:eastAsia="Malgun Gothic"/>
          <w:b/>
          <w:color w:val="0D5F5A"/>
        </w:rPr>
        <w:t>해지일까지 계약기간 중 발생한 배분대상 총매출의 15%에 잔여 계약기간을 전체 계약기간으로 나눈 비율을 곱한 금액</w:t>
      </w:r>
      <w:r>
        <w:rPr>
          <w:rFonts w:ascii="Calibri" w:hAnsi="Calibri" w:eastAsia="Malgun Gothic"/>
          <w:b w:val="0"/>
        </w:rPr>
        <w:t>으로 한다. 기간 계산은 제3항과 같다.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손해배상 예정액과 그 목적을 달리한다.</w:t>
      </w:r>
    </w:p>
    <w:p>
      <w:r>
        <w:rPr>
          <w:rFonts w:ascii="Calibri" w:hAnsi="Calibri" w:eastAsia="Malgun Gothic"/>
          <w:b w:val="0"/>
        </w:rPr>
        <w:t>④ 동일한 손해 또는 비용을 손해배상 예정액·투자금 반환·기타 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 xml:space="preserve">⑥ 손해배상 예정액 또는 반환금이 부당히 과다한 경우 </w:t>
      </w:r>
      <w:r>
        <w:rPr>
          <w:rFonts w:ascii="Calibri" w:hAnsi="Calibri" w:eastAsia="Malgun Gothic"/>
          <w:b/>
          <w:color w:val="0D5F5A"/>
        </w:rPr>
        <w:t>법원은 이를 적당히 감액할 수 있다.</w:t>
      </w:r>
      <w:r>
        <w:rPr>
          <w:rFonts w:ascii="Calibri" w:hAnsi="Calibri" w:eastAsia="Malgun Gothic"/>
          <w:b w:val="0"/>
        </w:rPr>
        <w:t xml:space="preserve"> 당사자는 실제 계약이행 기간, 회사의 투자와 업무수행, 선수의 위반 정도 및 예상손해를 고려하여 협의로 조정할 수도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손해배상 예정액을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손해배상 예정액(위약금)과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예정액도 </w:t>
      </w:r>
      <w:r>
        <w:rPr>
          <w:rFonts w:ascii="Calibri" w:hAnsi="Calibri" w:eastAsia="Malgun Gothic"/>
          <w:b/>
          <w:color w:val="0D5F5A"/>
        </w:rPr>
        <w:t>그동안의 배분대상 총매출의 15%에 남은 기간 비율을 곱한 금액</w:t>
      </w:r>
      <w:r>
        <w:rPr>
          <w:rFonts w:ascii="Calibri" w:hAnsi="Calibri" w:eastAsia="Malgun Gothic"/>
          <w:b w:val="0"/>
        </w:rPr>
        <w:t>입니다. 같은 예에서 4년간 총매출이 1억 원이면 300만 원입니다.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개설·운영한 채널의 운영권은 회사에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없이 중도 해지하면 손해배상 예정액(</w:t>
            </w:r>
            <w:r>
              <w:rPr>
                <w:rFonts w:ascii="맑은 고딕" w:hAnsi="맑은 고딕" w:eastAsia="맑은 고딕"/>
                <w:b/>
                <w:color w:val="0D5F5A"/>
                <w:sz w:val="20"/>
              </w:rPr>
              <w:t>총매출 15% × 잔여 계약기간 비율</w:t>
            </w:r>
            <w:r>
              <w:rPr>
                <w:rFonts w:ascii="맑은 고딕" w:hAnsi="맑은 고딕" w:eastAsia="맑은 고딕"/>
                <w:b w:val="0"/>
                <w:color w:val="000000"/>
                <w:sz w:val="20"/>
              </w:rPr>
              <w:t>)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위약금이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