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본인의 계정·연락처로 받은 제안으로서 그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  <w:r>
        <w:rPr>
          <w:rFonts w:ascii="Calibri" w:hAnsi="Calibri" w:eastAsia="Malgun Gothic"/>
          <w:b w:val="0"/>
        </w:rPr>
        <w:t xml:space="preserve"> 다만 회사의 계정·이메일·연락처나 회사가 배포한 제안서 등 회사 채널을 통해 접수된 제안은 특정 선수를 지목한 경우에도 회사가 유치한 거래로 보아 제12조제4항 본문의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>② 선수가 소속기관으로부터 정상적으로 급여를 받는 동안, 회사는 회사의 기본 배분금 중 80%를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>⑦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⑧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개설·운영한 채널의 개설자 지위, 로그인 권한, 관리자 권한, 채널명·핸들, 수익화 계정 연결권 및 운영권은 회사에 귀속한다.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>② 채널 이전대가는 다음 금액 중 큰 금액으로 한다.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누적 재투자금의 30%에 1,000만 원 초과분의 20%를 더한 금액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이전 요청일 직전 24개월 동안의 월평균 채널 순수익에 24를 곱한 금액</w:t>
      </w:r>
    </w:p>
    <w:p>
      <w:r>
        <w:rPr>
          <w:rFonts w:ascii="Calibri" w:hAnsi="Calibri" w:eastAsia="Malgun Gothic"/>
          <w:b w:val="0"/>
        </w:rPr>
        <w:t>③ 채널 운영기간이 24개월 미만인 경우 실제 운영기간의 월평균 순수익에 24를 곱한다. 다만 실제 운영기간이 3개월 미만이면 제2항 제1호를 우선 적용하거나 별도 합의한다.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>⑤ 회사의 귀책으로 선수가 해지하는 경우 선수는 손해배상 예정액·미회수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제2항에 따른 손해배상 예정액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 xml:space="preserve">② 제1항제1호의 금액은 손해배상액의 예정으로서, </w:t>
      </w:r>
      <w:r>
        <w:rPr>
          <w:rFonts w:ascii="Calibri" w:hAnsi="Calibri" w:eastAsia="Malgun Gothic"/>
          <w:b/>
          <w:color w:val="0D5F5A"/>
        </w:rPr>
        <w:t>해지일까지 계약기간 중 발생한 배분대상 총매출의 15%에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 계산은 제3항과 같다.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손해배상 예정액과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손해배상 예정액·투자금 반환·기타 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 xml:space="preserve">⑥ 손해배상 예정액 또는 반환금이 부당히 과다한 경우 </w:t>
      </w:r>
      <w:r>
        <w:rPr>
          <w:rFonts w:ascii="Calibri" w:hAnsi="Calibri" w:eastAsia="Malgun Gothic"/>
          <w:b/>
          <w:color w:val="0D5F5A"/>
        </w:rPr>
        <w:t>법원은 이를 적당히 감액할 수 있다.</w:t>
      </w:r>
      <w:r>
        <w:rPr>
          <w:rFonts w:ascii="Calibri" w:hAnsi="Calibri" w:eastAsia="Malgun Gothic"/>
          <w:b w:val="0"/>
        </w:rPr>
        <w:t xml:space="preserve"> 당사자는 실제 계약이행 기간, 회사의 투자와 업무수행, 선수의 위반 정도 및 예상손해를 고려하여 협의로 조정할 수도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손해배상 예정액을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